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23C43" w:rsidRPr="00423C43" w:rsidRDefault="00423C43" w:rsidP="00423C43">
      <w:pPr>
        <w:autoSpaceDE w:val="0"/>
        <w:autoSpaceDN w:val="0"/>
        <w:adjustRightInd w:val="0"/>
        <w:spacing w:after="0" w:line="400" w:lineRule="atLeast"/>
        <w:textAlignment w:val="center"/>
        <w:rPr>
          <w:rFonts w:ascii="FagoNoRegular" w:hAnsi="FagoNoRegular" w:cs="FagoNoRegular"/>
          <w:color w:val="FFFFFF"/>
          <w:sz w:val="40"/>
          <w:szCs w:val="40"/>
          <w:lang w:val="en-US"/>
        </w:rPr>
      </w:pPr>
      <w:r w:rsidRPr="00423C43">
        <w:rPr>
          <w:rFonts w:ascii="FagoNoRegular" w:hAnsi="FagoNoRegular" w:cs="FagoNoRegular"/>
          <w:color w:val="FFFFFF"/>
          <w:sz w:val="40"/>
          <w:szCs w:val="40"/>
          <w:lang w:val="en-US"/>
        </w:rPr>
        <w:t xml:space="preserve">Federal Broach &amp; Machine Company: </w:t>
      </w:r>
    </w:p>
    <w:p w:rsidR="00423C43" w:rsidRDefault="00423C43" w:rsidP="00423C43">
      <w:pPr>
        <w:pStyle w:val="berschrift2"/>
        <w:rPr>
          <w:lang w:val="en-US"/>
        </w:rPr>
      </w:pPr>
      <w:r w:rsidRPr="00423C43">
        <w:rPr>
          <w:lang w:val="en-US"/>
        </w:rPr>
        <w:t xml:space="preserve">Leader </w:t>
      </w:r>
      <w:proofErr w:type="spellStart"/>
      <w:r w:rsidRPr="00423C43">
        <w:rPr>
          <w:lang w:val="en-US"/>
        </w:rPr>
        <w:t>nella</w:t>
      </w:r>
      <w:proofErr w:type="spellEnd"/>
      <w:r w:rsidRPr="00423C43">
        <w:rPr>
          <w:lang w:val="en-US"/>
        </w:rPr>
        <w:t xml:space="preserve"> </w:t>
      </w:r>
      <w:proofErr w:type="spellStart"/>
      <w:r w:rsidRPr="00423C43">
        <w:rPr>
          <w:lang w:val="en-US"/>
        </w:rPr>
        <w:t>precisione</w:t>
      </w:r>
      <w:proofErr w:type="spellEnd"/>
      <w:r w:rsidRPr="00423C43">
        <w:rPr>
          <w:lang w:val="en-US"/>
        </w:rPr>
        <w:t xml:space="preserve"> e </w:t>
      </w:r>
      <w:proofErr w:type="spellStart"/>
      <w:r w:rsidRPr="00423C43">
        <w:rPr>
          <w:lang w:val="en-US"/>
        </w:rPr>
        <w:t>nell’innovazione</w:t>
      </w:r>
      <w:proofErr w:type="spellEnd"/>
      <w:r w:rsidRPr="00423C43">
        <w:rPr>
          <w:lang w:val="en-US"/>
        </w:rPr>
        <w:t xml:space="preserve"> </w:t>
      </w:r>
      <w:proofErr w:type="spellStart"/>
      <w:proofErr w:type="gramStart"/>
      <w:r w:rsidRPr="00423C43">
        <w:rPr>
          <w:lang w:val="en-US"/>
        </w:rPr>
        <w:t>della</w:t>
      </w:r>
      <w:proofErr w:type="spellEnd"/>
      <w:proofErr w:type="gramEnd"/>
      <w:r w:rsidRPr="00423C43">
        <w:rPr>
          <w:lang w:val="en-US"/>
        </w:rPr>
        <w:t xml:space="preserve"> </w:t>
      </w:r>
      <w:proofErr w:type="spellStart"/>
      <w:r w:rsidRPr="00423C43">
        <w:rPr>
          <w:lang w:val="en-US"/>
        </w:rPr>
        <w:t>produzione</w:t>
      </w:r>
      <w:proofErr w:type="spellEnd"/>
      <w:r w:rsidRPr="00423C43">
        <w:rPr>
          <w:lang w:val="en-US"/>
        </w:rPr>
        <w:t xml:space="preserve"> di </w:t>
      </w:r>
      <w:proofErr w:type="spellStart"/>
      <w:r w:rsidRPr="00423C43">
        <w:rPr>
          <w:lang w:val="en-US"/>
        </w:rPr>
        <w:t>utensili</w:t>
      </w:r>
      <w:proofErr w:type="spellEnd"/>
      <w:r w:rsidRPr="00423C43">
        <w:rPr>
          <w:lang w:val="en-US"/>
        </w:rPr>
        <w:t xml:space="preserve"> per </w:t>
      </w:r>
      <w:proofErr w:type="spellStart"/>
      <w:r w:rsidRPr="00423C43">
        <w:rPr>
          <w:lang w:val="en-US"/>
        </w:rPr>
        <w:t>brocce</w:t>
      </w:r>
      <w:proofErr w:type="spellEnd"/>
    </w:p>
    <w:p w:rsidR="00423C43" w:rsidRPr="00423C43" w:rsidRDefault="00423C43" w:rsidP="00423C43">
      <w:pPr>
        <w:rPr>
          <w:rFonts w:asciiTheme="minorHAnsi" w:hAnsiTheme="minorHAnsi" w:cstheme="minorHAnsi"/>
          <w:b/>
          <w:lang w:val="it-IT"/>
        </w:rPr>
      </w:pPr>
      <w:r w:rsidRPr="00423C43">
        <w:rPr>
          <w:rFonts w:asciiTheme="minorHAnsi" w:hAnsiTheme="minorHAnsi" w:cstheme="minorHAnsi"/>
          <w:b/>
          <w:lang w:val="it-IT"/>
        </w:rPr>
        <w:t xml:space="preserve">Situata nel cuore del panoramico Michigan centrale, Federal </w:t>
      </w:r>
      <w:proofErr w:type="spellStart"/>
      <w:r w:rsidRPr="00423C43">
        <w:rPr>
          <w:rFonts w:asciiTheme="minorHAnsi" w:hAnsiTheme="minorHAnsi" w:cstheme="minorHAnsi"/>
          <w:b/>
          <w:lang w:val="it-IT"/>
        </w:rPr>
        <w:t>Broach</w:t>
      </w:r>
      <w:proofErr w:type="spellEnd"/>
      <w:r w:rsidRPr="00423C43">
        <w:rPr>
          <w:rFonts w:asciiTheme="minorHAnsi" w:hAnsiTheme="minorHAnsi" w:cstheme="minorHAnsi"/>
          <w:b/>
          <w:lang w:val="it-IT"/>
        </w:rPr>
        <w:t xml:space="preserve"> &amp; Machine Company è un’eccellenza nella produzione di utensili di precisione e nella costruzione di macchine dal 1952. Da quando si è trasferita da Livonia, Michigan, ad Harrison nel 1984, Federal </w:t>
      </w:r>
      <w:proofErr w:type="spellStart"/>
      <w:r w:rsidRPr="00423C43">
        <w:rPr>
          <w:rFonts w:asciiTheme="minorHAnsi" w:hAnsiTheme="minorHAnsi" w:cstheme="minorHAnsi"/>
          <w:b/>
          <w:lang w:val="it-IT"/>
        </w:rPr>
        <w:t>Broach</w:t>
      </w:r>
      <w:proofErr w:type="spellEnd"/>
      <w:r w:rsidRPr="00423C43">
        <w:rPr>
          <w:rFonts w:asciiTheme="minorHAnsi" w:hAnsiTheme="minorHAnsi" w:cstheme="minorHAnsi"/>
          <w:b/>
          <w:lang w:val="it-IT"/>
        </w:rPr>
        <w:t xml:space="preserve"> si è affermata come una pietra miliare della comunità. Oggi, come parte della stimata NIDEC Machine </w:t>
      </w:r>
      <w:proofErr w:type="spellStart"/>
      <w:r w:rsidRPr="00423C43">
        <w:rPr>
          <w:rFonts w:asciiTheme="minorHAnsi" w:hAnsiTheme="minorHAnsi" w:cstheme="minorHAnsi"/>
          <w:b/>
          <w:lang w:val="it-IT"/>
        </w:rPr>
        <w:t>Tool</w:t>
      </w:r>
      <w:proofErr w:type="spellEnd"/>
      <w:r w:rsidRPr="00423C43">
        <w:rPr>
          <w:rFonts w:asciiTheme="minorHAnsi" w:hAnsiTheme="minorHAnsi" w:cstheme="minorHAnsi"/>
          <w:b/>
          <w:lang w:val="it-IT"/>
        </w:rPr>
        <w:t xml:space="preserve"> Corporation di Ritto, in Giappone, insieme a NIDEC OKK, PAMA e </w:t>
      </w:r>
      <w:proofErr w:type="spellStart"/>
      <w:r w:rsidRPr="00423C43">
        <w:rPr>
          <w:rFonts w:asciiTheme="minorHAnsi" w:hAnsiTheme="minorHAnsi" w:cstheme="minorHAnsi"/>
          <w:b/>
          <w:lang w:val="it-IT"/>
        </w:rPr>
        <w:t>Takisawa</w:t>
      </w:r>
      <w:proofErr w:type="spellEnd"/>
      <w:r w:rsidRPr="00423C43">
        <w:rPr>
          <w:rFonts w:asciiTheme="minorHAnsi" w:hAnsiTheme="minorHAnsi" w:cstheme="minorHAnsi"/>
          <w:b/>
          <w:lang w:val="it-IT"/>
        </w:rPr>
        <w:t xml:space="preserve">, Federal </w:t>
      </w:r>
      <w:proofErr w:type="spellStart"/>
      <w:r w:rsidRPr="00423C43">
        <w:rPr>
          <w:rFonts w:asciiTheme="minorHAnsi" w:hAnsiTheme="minorHAnsi" w:cstheme="minorHAnsi"/>
          <w:b/>
          <w:lang w:val="it-IT"/>
        </w:rPr>
        <w:t>Broach</w:t>
      </w:r>
      <w:proofErr w:type="spellEnd"/>
      <w:r w:rsidRPr="00423C43">
        <w:rPr>
          <w:rFonts w:asciiTheme="minorHAnsi" w:hAnsiTheme="minorHAnsi" w:cstheme="minorHAnsi"/>
          <w:b/>
          <w:lang w:val="it-IT"/>
        </w:rPr>
        <w:t xml:space="preserve"> continua a guidare l’innovazione nel settore.</w:t>
      </w:r>
    </w:p>
    <w:p w:rsidR="00F265B0" w:rsidRPr="00423C43" w:rsidRDefault="00F265B0" w:rsidP="00423C43">
      <w:pPr>
        <w:rPr>
          <w:rFonts w:asciiTheme="minorHAnsi" w:hAnsiTheme="minorHAnsi" w:cstheme="minorHAnsi"/>
          <w:b/>
          <w:sz w:val="20"/>
          <w:szCs w:val="20"/>
          <w:lang w:val="en-US"/>
        </w:rPr>
      </w:pPr>
    </w:p>
    <w:p w:rsidR="00423C43" w:rsidRPr="00423C43" w:rsidRDefault="00423C43" w:rsidP="00423C43">
      <w:pPr>
        <w:rPr>
          <w:rFonts w:asciiTheme="minorHAnsi" w:hAnsiTheme="minorHAnsi" w:cstheme="minorHAnsi"/>
          <w:spacing w:val="1"/>
          <w:lang w:val="it-IT"/>
        </w:rPr>
      </w:pPr>
      <w:r w:rsidRPr="00423C43">
        <w:rPr>
          <w:rFonts w:asciiTheme="minorHAnsi" w:hAnsiTheme="minorHAnsi" w:cstheme="minorHAnsi"/>
          <w:spacing w:val="1"/>
          <w:lang w:val="it-IT"/>
        </w:rPr>
        <w:t xml:space="preserve">Il percorso di Federal </w:t>
      </w:r>
      <w:proofErr w:type="spellStart"/>
      <w:r w:rsidRPr="00423C43">
        <w:rPr>
          <w:rFonts w:asciiTheme="minorHAnsi" w:hAnsiTheme="minorHAnsi" w:cstheme="minorHAnsi"/>
          <w:spacing w:val="1"/>
          <w:lang w:val="it-IT"/>
        </w:rPr>
        <w:t>Broach</w:t>
      </w:r>
      <w:proofErr w:type="spellEnd"/>
      <w:r w:rsidRPr="00423C43">
        <w:rPr>
          <w:rFonts w:asciiTheme="minorHAnsi" w:hAnsiTheme="minorHAnsi" w:cstheme="minorHAnsi"/>
          <w:spacing w:val="1"/>
          <w:lang w:val="it-IT"/>
        </w:rPr>
        <w:t xml:space="preserve"> è stato caratterizzato da una crescita notevole, alimentata da un impegno costante verso l’eccellenza nel servire settori chiave come quello automobilistico, della produzione di grandi autocarri, aerospaziale, agricolo e della difesa. Con un’estensione di ben 8900 </w:t>
      </w:r>
      <w:r w:rsidRPr="00423C43">
        <w:rPr>
          <w:rFonts w:asciiTheme="minorHAnsi" w:hAnsiTheme="minorHAnsi" w:cstheme="minorHAnsi"/>
          <w:spacing w:val="-2"/>
          <w:lang w:val="it-IT"/>
        </w:rPr>
        <w:t>m</w:t>
      </w:r>
      <w:r w:rsidRPr="00423C43">
        <w:rPr>
          <w:rFonts w:asciiTheme="minorHAnsi" w:hAnsiTheme="minorHAnsi" w:cstheme="minorHAnsi"/>
          <w:spacing w:val="-2"/>
          <w:vertAlign w:val="superscript"/>
          <w:lang w:val="it-IT"/>
        </w:rPr>
        <w:t>2</w:t>
      </w:r>
      <w:r w:rsidRPr="00423C43">
        <w:rPr>
          <w:rFonts w:asciiTheme="minorHAnsi" w:hAnsiTheme="minorHAnsi" w:cstheme="minorHAnsi"/>
          <w:spacing w:val="1"/>
          <w:lang w:val="it-IT"/>
        </w:rPr>
        <w:t xml:space="preserve">, il suo impianto di produzione all’avanguardia è specializzato nella produzione di macchine brocciatrici, di una varietà di utensili </w:t>
      </w:r>
      <w:proofErr w:type="spellStart"/>
      <w:r w:rsidRPr="00423C43">
        <w:rPr>
          <w:rFonts w:asciiTheme="minorHAnsi" w:hAnsiTheme="minorHAnsi" w:cstheme="minorHAnsi"/>
          <w:spacing w:val="1"/>
          <w:lang w:val="it-IT"/>
        </w:rPr>
        <w:t>brocciatori</w:t>
      </w:r>
      <w:proofErr w:type="spellEnd"/>
      <w:r w:rsidRPr="00423C43">
        <w:rPr>
          <w:rFonts w:asciiTheme="minorHAnsi" w:hAnsiTheme="minorHAnsi" w:cstheme="minorHAnsi"/>
          <w:spacing w:val="1"/>
          <w:lang w:val="it-IT"/>
        </w:rPr>
        <w:t xml:space="preserve"> e nell’affilatura e ravvivatura di utensili per il taglio degli ingranaggi. In particolare, l’azienda vanta un proprio impianto di ravvivatura, una caratteristica rara tra i fornitori di utensili per il taglio degli ingranaggi, che evidenzia il suo impegno nell’offrire soluzioni complete ai clienti.</w:t>
      </w:r>
    </w:p>
    <w:p w:rsidR="00423C43" w:rsidRPr="00423C43" w:rsidRDefault="00423C43" w:rsidP="00423C43">
      <w:pPr>
        <w:rPr>
          <w:rFonts w:asciiTheme="minorHAnsi" w:hAnsiTheme="minorHAnsi" w:cstheme="minorHAnsi"/>
          <w:spacing w:val="1"/>
          <w:lang w:val="it-IT"/>
        </w:rPr>
      </w:pPr>
    </w:p>
    <w:p w:rsidR="00423C43" w:rsidRPr="00423C43" w:rsidRDefault="00423C43" w:rsidP="00423C43">
      <w:pPr>
        <w:rPr>
          <w:rFonts w:asciiTheme="minorHAnsi" w:hAnsiTheme="minorHAnsi" w:cstheme="minorHAnsi"/>
          <w:spacing w:val="1"/>
          <w:lang w:val="it-IT"/>
        </w:rPr>
      </w:pPr>
      <w:r w:rsidRPr="00423C43">
        <w:rPr>
          <w:rFonts w:asciiTheme="minorHAnsi" w:hAnsiTheme="minorHAnsi" w:cstheme="minorHAnsi"/>
          <w:spacing w:val="1"/>
          <w:lang w:val="it-IT"/>
        </w:rPr>
        <w:t xml:space="preserve">Per soddisfare la crescente domanda di servizi negli utensili per il taglio degli ingranaggi, Federal </w:t>
      </w:r>
      <w:proofErr w:type="spellStart"/>
      <w:r w:rsidRPr="00423C43">
        <w:rPr>
          <w:rFonts w:asciiTheme="minorHAnsi" w:hAnsiTheme="minorHAnsi" w:cstheme="minorHAnsi"/>
          <w:spacing w:val="1"/>
          <w:lang w:val="it-IT"/>
        </w:rPr>
        <w:t>Broach</w:t>
      </w:r>
      <w:proofErr w:type="spellEnd"/>
      <w:r w:rsidRPr="00423C43">
        <w:rPr>
          <w:rFonts w:asciiTheme="minorHAnsi" w:hAnsiTheme="minorHAnsi" w:cstheme="minorHAnsi"/>
          <w:spacing w:val="1"/>
          <w:lang w:val="it-IT"/>
        </w:rPr>
        <w:t xml:space="preserve"> ha recentemente aumentato le proprie capacità integrando un secondo sistema di ravvivatura. Questo miglioramento strategico consente all’azienda di gestire in modo efficiente i maggiori volumi di attività, fornendo un supporto fondamentale ai produttori di ingranaggi in tutti gli Stati Uniti.</w:t>
      </w:r>
    </w:p>
    <w:p w:rsidR="00423C43" w:rsidRPr="00423C43" w:rsidRDefault="00423C43" w:rsidP="00423C43">
      <w:pPr>
        <w:rPr>
          <w:rFonts w:asciiTheme="minorHAnsi" w:hAnsiTheme="minorHAnsi" w:cstheme="minorHAnsi"/>
          <w:spacing w:val="1"/>
          <w:lang w:val="it-IT"/>
        </w:rPr>
      </w:pPr>
    </w:p>
    <w:p w:rsidR="00423C43" w:rsidRPr="00423C43" w:rsidRDefault="00423C43" w:rsidP="00423C43">
      <w:pPr>
        <w:rPr>
          <w:rFonts w:asciiTheme="minorHAnsi" w:hAnsiTheme="minorHAnsi" w:cstheme="minorHAnsi"/>
          <w:spacing w:val="1"/>
          <w:lang w:val="it-IT"/>
        </w:rPr>
      </w:pPr>
      <w:r w:rsidRPr="00423C43">
        <w:rPr>
          <w:rFonts w:asciiTheme="minorHAnsi" w:hAnsiTheme="minorHAnsi" w:cstheme="minorHAnsi"/>
          <w:lang w:val="it-IT"/>
        </w:rPr>
        <w:t xml:space="preserve">Un elemento fondamentale per il successo e l’espansione di Federal </w:t>
      </w:r>
      <w:proofErr w:type="spellStart"/>
      <w:r w:rsidRPr="00423C43">
        <w:rPr>
          <w:rFonts w:asciiTheme="minorHAnsi" w:hAnsiTheme="minorHAnsi" w:cstheme="minorHAnsi"/>
          <w:lang w:val="it-IT"/>
        </w:rPr>
        <w:t>Broach</w:t>
      </w:r>
      <w:proofErr w:type="spellEnd"/>
      <w:r w:rsidRPr="00423C43">
        <w:rPr>
          <w:rFonts w:asciiTheme="minorHAnsi" w:hAnsiTheme="minorHAnsi" w:cstheme="minorHAnsi"/>
          <w:lang w:val="it-IT"/>
        </w:rPr>
        <w:t xml:space="preserve"> è stata la collaborazione strategica con NUM, leader mondiale nelle soluzioni di controllo CNC. Questa partnership, iniziata nel 1999 quando Federal </w:t>
      </w:r>
      <w:proofErr w:type="spellStart"/>
      <w:r w:rsidRPr="00423C43">
        <w:rPr>
          <w:rFonts w:asciiTheme="minorHAnsi" w:hAnsiTheme="minorHAnsi" w:cstheme="minorHAnsi"/>
          <w:lang w:val="it-IT"/>
        </w:rPr>
        <w:t>Broach</w:t>
      </w:r>
      <w:proofErr w:type="spellEnd"/>
      <w:r w:rsidRPr="00423C43">
        <w:rPr>
          <w:rFonts w:asciiTheme="minorHAnsi" w:hAnsiTheme="minorHAnsi" w:cstheme="minorHAnsi"/>
          <w:lang w:val="it-IT"/>
        </w:rPr>
        <w:t xml:space="preserve"> ha intrapreso l’aggiornamento della sua rettificatrice per scanalature </w:t>
      </w:r>
      <w:proofErr w:type="spellStart"/>
      <w:r w:rsidRPr="00423C43">
        <w:rPr>
          <w:rFonts w:asciiTheme="minorHAnsi" w:hAnsiTheme="minorHAnsi" w:cstheme="minorHAnsi"/>
          <w:lang w:val="it-IT"/>
        </w:rPr>
        <w:t>Brown</w:t>
      </w:r>
      <w:proofErr w:type="spellEnd"/>
      <w:r w:rsidRPr="00423C43">
        <w:rPr>
          <w:rFonts w:asciiTheme="minorHAnsi" w:hAnsiTheme="minorHAnsi" w:cstheme="minorHAnsi"/>
          <w:lang w:val="it-IT"/>
        </w:rPr>
        <w:t xml:space="preserve"> &amp; </w:t>
      </w:r>
      <w:proofErr w:type="spellStart"/>
      <w:r w:rsidRPr="00423C43">
        <w:rPr>
          <w:rFonts w:asciiTheme="minorHAnsi" w:hAnsiTheme="minorHAnsi" w:cstheme="minorHAnsi"/>
          <w:lang w:val="it-IT"/>
        </w:rPr>
        <w:t>Sharpe</w:t>
      </w:r>
      <w:proofErr w:type="spellEnd"/>
      <w:r w:rsidRPr="00423C43">
        <w:rPr>
          <w:rFonts w:asciiTheme="minorHAnsi" w:hAnsiTheme="minorHAnsi" w:cstheme="minorHAnsi"/>
          <w:lang w:val="it-IT"/>
        </w:rPr>
        <w:t xml:space="preserve">, si è rivelata fondamentale per modernizzare le sue operazioni. </w:t>
      </w:r>
      <w:proofErr w:type="spellStart"/>
      <w:r w:rsidRPr="00423C43">
        <w:rPr>
          <w:rFonts w:asciiTheme="minorHAnsi" w:hAnsiTheme="minorHAnsi" w:cstheme="minorHAnsi"/>
          <w:lang w:val="it-IT"/>
        </w:rPr>
        <w:t>Ken</w:t>
      </w:r>
      <w:proofErr w:type="spellEnd"/>
      <w:r w:rsidRPr="00423C43">
        <w:rPr>
          <w:rFonts w:asciiTheme="minorHAnsi" w:hAnsiTheme="minorHAnsi" w:cstheme="minorHAnsi"/>
          <w:lang w:val="it-IT"/>
        </w:rPr>
        <w:t xml:space="preserve"> </w:t>
      </w:r>
      <w:proofErr w:type="spellStart"/>
      <w:r w:rsidRPr="00423C43">
        <w:rPr>
          <w:rFonts w:asciiTheme="minorHAnsi" w:hAnsiTheme="minorHAnsi" w:cstheme="minorHAnsi"/>
          <w:lang w:val="it-IT"/>
        </w:rPr>
        <w:t>Kernen</w:t>
      </w:r>
      <w:proofErr w:type="spellEnd"/>
      <w:r w:rsidRPr="00423C43">
        <w:rPr>
          <w:rFonts w:asciiTheme="minorHAnsi" w:hAnsiTheme="minorHAnsi" w:cstheme="minorHAnsi"/>
          <w:lang w:val="it-IT"/>
        </w:rPr>
        <w:t xml:space="preserve">, presidente di Federal </w:t>
      </w:r>
      <w:proofErr w:type="spellStart"/>
      <w:r w:rsidRPr="00423C43">
        <w:rPr>
          <w:rFonts w:asciiTheme="minorHAnsi" w:hAnsiTheme="minorHAnsi" w:cstheme="minorHAnsi"/>
          <w:lang w:val="it-IT"/>
        </w:rPr>
        <w:t>Broach</w:t>
      </w:r>
      <w:proofErr w:type="spellEnd"/>
      <w:r w:rsidRPr="00423C43">
        <w:rPr>
          <w:rFonts w:asciiTheme="minorHAnsi" w:hAnsiTheme="minorHAnsi" w:cstheme="minorHAnsi"/>
          <w:lang w:val="it-IT"/>
        </w:rPr>
        <w:t xml:space="preserve">, ricorda i primi tempi, sottolineando la disponibilità di NUM a impegnarsi in un progetto personalizzato e unico. Questa collaborazione ha gettato le basi per l’uso standardizzato di NUM da parte di Federal </w:t>
      </w:r>
      <w:proofErr w:type="spellStart"/>
      <w:r w:rsidRPr="00423C43">
        <w:rPr>
          <w:rFonts w:asciiTheme="minorHAnsi" w:hAnsiTheme="minorHAnsi" w:cstheme="minorHAnsi"/>
          <w:lang w:val="it-IT"/>
        </w:rPr>
        <w:t>Broach</w:t>
      </w:r>
      <w:proofErr w:type="spellEnd"/>
      <w:r w:rsidRPr="00423C43">
        <w:rPr>
          <w:rFonts w:asciiTheme="minorHAnsi" w:hAnsiTheme="minorHAnsi" w:cstheme="minorHAnsi"/>
          <w:lang w:val="it-IT"/>
        </w:rPr>
        <w:t xml:space="preserve"> per molte delle sue macchine per la produzione di brocce, a testimonianza dell’impegno di NUM per l’innovazione e le soluzioni incentrate sul cliente. </w:t>
      </w:r>
      <w:proofErr w:type="spellStart"/>
      <w:r w:rsidRPr="00423C43">
        <w:rPr>
          <w:rFonts w:asciiTheme="minorHAnsi" w:hAnsiTheme="minorHAnsi" w:cstheme="minorHAnsi"/>
          <w:lang w:val="it-IT"/>
        </w:rPr>
        <w:t>Ken</w:t>
      </w:r>
      <w:proofErr w:type="spellEnd"/>
      <w:r w:rsidRPr="00423C43">
        <w:rPr>
          <w:rFonts w:asciiTheme="minorHAnsi" w:hAnsiTheme="minorHAnsi" w:cstheme="minorHAnsi"/>
          <w:lang w:val="it-IT"/>
        </w:rPr>
        <w:t xml:space="preserve"> </w:t>
      </w:r>
      <w:proofErr w:type="spellStart"/>
      <w:r w:rsidRPr="00423C43">
        <w:rPr>
          <w:rFonts w:asciiTheme="minorHAnsi" w:hAnsiTheme="minorHAnsi" w:cstheme="minorHAnsi"/>
          <w:lang w:val="it-IT"/>
        </w:rPr>
        <w:t>Kernen</w:t>
      </w:r>
      <w:proofErr w:type="spellEnd"/>
      <w:r w:rsidRPr="00423C43">
        <w:rPr>
          <w:rFonts w:asciiTheme="minorHAnsi" w:hAnsiTheme="minorHAnsi" w:cstheme="minorHAnsi"/>
          <w:lang w:val="it-IT"/>
        </w:rPr>
        <w:t xml:space="preserve"> ricorda che: “NUM era disposta a lavorare con noi. Avevamo un progetto personalizzato, una tantum. Nessuno degli altri fornitori di controlli CNC era interessato a un lavoro personalizzato una tantum. Ora abbiamo standardizzato l’uso di NUM per tutti i nostri prodotti di brocciatrici.”</w:t>
      </w:r>
    </w:p>
    <w:p w:rsidR="00423C43" w:rsidRPr="00423C43" w:rsidRDefault="00423C43" w:rsidP="00423C43">
      <w:pPr>
        <w:rPr>
          <w:rFonts w:asciiTheme="minorHAnsi" w:hAnsiTheme="minorHAnsi" w:cstheme="minorHAnsi"/>
          <w:spacing w:val="1"/>
          <w:lang w:val="it-IT"/>
        </w:rPr>
      </w:pPr>
    </w:p>
    <w:p w:rsidR="00423C43" w:rsidRPr="00423C43" w:rsidRDefault="00423C43" w:rsidP="00423C43">
      <w:pPr>
        <w:rPr>
          <w:rFonts w:asciiTheme="minorHAnsi" w:hAnsiTheme="minorHAnsi" w:cstheme="minorHAnsi"/>
          <w:spacing w:val="1"/>
          <w:lang w:val="it-IT"/>
        </w:rPr>
      </w:pPr>
      <w:r w:rsidRPr="00423C43">
        <w:rPr>
          <w:rFonts w:asciiTheme="minorHAnsi" w:hAnsiTheme="minorHAnsi" w:cstheme="minorHAnsi"/>
          <w:spacing w:val="1"/>
          <w:lang w:val="it-IT"/>
        </w:rPr>
        <w:t xml:space="preserve">Riflettendo sulla partnership, </w:t>
      </w:r>
      <w:proofErr w:type="spellStart"/>
      <w:r w:rsidRPr="00423C43">
        <w:rPr>
          <w:rFonts w:asciiTheme="minorHAnsi" w:hAnsiTheme="minorHAnsi" w:cstheme="minorHAnsi"/>
          <w:spacing w:val="1"/>
          <w:lang w:val="it-IT"/>
        </w:rPr>
        <w:t>Kernen</w:t>
      </w:r>
      <w:proofErr w:type="spellEnd"/>
      <w:r w:rsidRPr="00423C43">
        <w:rPr>
          <w:rFonts w:asciiTheme="minorHAnsi" w:hAnsiTheme="minorHAnsi" w:cstheme="minorHAnsi"/>
          <w:spacing w:val="1"/>
          <w:lang w:val="it-IT"/>
        </w:rPr>
        <w:t xml:space="preserve"> sottolinea il prezioso supporto fornito dal team di assistenza clienti di NUM, che ha superato le aspettative durante il progetto iniziale. Federal </w:t>
      </w:r>
      <w:proofErr w:type="spellStart"/>
      <w:r w:rsidRPr="00423C43">
        <w:rPr>
          <w:rFonts w:asciiTheme="minorHAnsi" w:hAnsiTheme="minorHAnsi" w:cstheme="minorHAnsi"/>
          <w:spacing w:val="1"/>
          <w:lang w:val="it-IT"/>
        </w:rPr>
        <w:t>Broach</w:t>
      </w:r>
      <w:proofErr w:type="spellEnd"/>
      <w:r w:rsidRPr="00423C43">
        <w:rPr>
          <w:rFonts w:asciiTheme="minorHAnsi" w:hAnsiTheme="minorHAnsi" w:cstheme="minorHAnsi"/>
          <w:spacing w:val="1"/>
          <w:lang w:val="it-IT"/>
        </w:rPr>
        <w:t xml:space="preserve"> si è </w:t>
      </w:r>
      <w:r w:rsidRPr="00423C43">
        <w:rPr>
          <w:rFonts w:asciiTheme="minorHAnsi" w:hAnsiTheme="minorHAnsi" w:cstheme="minorHAnsi"/>
          <w:spacing w:val="1"/>
          <w:lang w:val="it-IT"/>
        </w:rPr>
        <w:lastRenderedPageBreak/>
        <w:t xml:space="preserve">sempre rivolta a NUM per vari progetti, sfruttando i controlli e i sistemi di azionamento flessibili di NUM, che consentono di adattare le interfacce e le funzioni della macchina a operazioni specifiche. Questo approccio collaborativo ha migliorato significativamente l’efficienza, ha mantenuto standard di qualità impeccabili e ha prolungato la durata delle macchine di alto valore di Federal </w:t>
      </w:r>
      <w:proofErr w:type="spellStart"/>
      <w:r w:rsidRPr="00423C43">
        <w:rPr>
          <w:rFonts w:asciiTheme="minorHAnsi" w:hAnsiTheme="minorHAnsi" w:cstheme="minorHAnsi"/>
          <w:spacing w:val="1"/>
          <w:lang w:val="it-IT"/>
        </w:rPr>
        <w:t>Broach</w:t>
      </w:r>
      <w:proofErr w:type="spellEnd"/>
      <w:r w:rsidRPr="00423C43">
        <w:rPr>
          <w:rFonts w:asciiTheme="minorHAnsi" w:hAnsiTheme="minorHAnsi" w:cstheme="minorHAnsi"/>
          <w:spacing w:val="1"/>
          <w:lang w:val="it-IT"/>
        </w:rPr>
        <w:t>.</w:t>
      </w:r>
    </w:p>
    <w:p w:rsidR="00423C43" w:rsidRPr="00423C43" w:rsidRDefault="00423C43" w:rsidP="00423C43">
      <w:pPr>
        <w:rPr>
          <w:rFonts w:asciiTheme="minorHAnsi" w:hAnsiTheme="minorHAnsi" w:cstheme="minorHAnsi"/>
          <w:spacing w:val="1"/>
          <w:lang w:val="it-IT"/>
        </w:rPr>
      </w:pPr>
      <w:r w:rsidRPr="00423C43">
        <w:rPr>
          <w:rFonts w:asciiTheme="minorHAnsi" w:hAnsiTheme="minorHAnsi" w:cstheme="minorHAnsi"/>
          <w:spacing w:val="1"/>
          <w:lang w:val="it-IT"/>
        </w:rPr>
        <w:t xml:space="preserve">Nel 2023, Federal </w:t>
      </w:r>
      <w:proofErr w:type="spellStart"/>
      <w:r w:rsidRPr="00423C43">
        <w:rPr>
          <w:rFonts w:asciiTheme="minorHAnsi" w:hAnsiTheme="minorHAnsi" w:cstheme="minorHAnsi"/>
          <w:spacing w:val="1"/>
          <w:lang w:val="it-IT"/>
        </w:rPr>
        <w:t>Broach</w:t>
      </w:r>
      <w:proofErr w:type="spellEnd"/>
      <w:r w:rsidRPr="00423C43">
        <w:rPr>
          <w:rFonts w:asciiTheme="minorHAnsi" w:hAnsiTheme="minorHAnsi" w:cstheme="minorHAnsi"/>
          <w:spacing w:val="1"/>
          <w:lang w:val="it-IT"/>
        </w:rPr>
        <w:t xml:space="preserve"> e NUM hanno unito le forze ancora una volta per introdurre la brocciatrice economica 10T, segnando una naturale evoluzione della loro collaborazione di successo nella produzione di utensili per brocce. Cercando un partner con una presenza globale, un’infrastruttura di supporto eccezionale e una gamma di prodotti diversificata per soddisfare i requisiti della macchina in tutte le linee, NIDEC ha scelto NUM per questa impresa.</w:t>
      </w:r>
    </w:p>
    <w:p w:rsidR="00423C43" w:rsidRPr="00423C43" w:rsidRDefault="00423C43" w:rsidP="00423C43">
      <w:pPr>
        <w:rPr>
          <w:rFonts w:asciiTheme="minorHAnsi" w:hAnsiTheme="minorHAnsi" w:cstheme="minorHAnsi"/>
          <w:spacing w:val="1"/>
          <w:lang w:val="it-IT"/>
        </w:rPr>
      </w:pPr>
    </w:p>
    <w:p w:rsidR="00423C43" w:rsidRPr="00423C43" w:rsidRDefault="00423C43" w:rsidP="00423C43">
      <w:pPr>
        <w:rPr>
          <w:rFonts w:asciiTheme="minorHAnsi" w:hAnsiTheme="minorHAnsi" w:cstheme="minorHAnsi"/>
          <w:spacing w:val="1"/>
          <w:lang w:val="it-IT"/>
        </w:rPr>
      </w:pPr>
      <w:r w:rsidRPr="00423C43">
        <w:rPr>
          <w:rFonts w:asciiTheme="minorHAnsi" w:hAnsiTheme="minorHAnsi" w:cstheme="minorHAnsi"/>
          <w:spacing w:val="1"/>
          <w:lang w:val="it-IT"/>
        </w:rPr>
        <w:t>Il processo di brocciatura prevede l’interazione precisa tra il pezzo da lavorare e la broccia, un utensile da taglio a più denti con denti o bordi di taglio progressivamente più grandi. La broccia viene inserita gradualmente nel pezzo in lavorazione a una velocità controllata, mentre i suoi denti rimuovono progressivamente il materiale per formare la forma o l’elemento desiderato. Le moderne brocciatrici, compresa la brocciatrice economica 10T, sono passate da sistemi idraulici a servocomandi elettrici per una maggiore precisione e controllo.</w:t>
      </w:r>
    </w:p>
    <w:p w:rsidR="00423C43" w:rsidRPr="00423C43" w:rsidRDefault="00423C43" w:rsidP="00423C43">
      <w:pPr>
        <w:rPr>
          <w:rFonts w:asciiTheme="minorHAnsi" w:hAnsiTheme="minorHAnsi" w:cstheme="minorHAnsi"/>
          <w:spacing w:val="1"/>
          <w:lang w:val="it-IT"/>
        </w:rPr>
      </w:pPr>
    </w:p>
    <w:p w:rsidR="00423C43" w:rsidRPr="00423C43" w:rsidRDefault="00423C43" w:rsidP="00423C43">
      <w:pPr>
        <w:rPr>
          <w:rFonts w:asciiTheme="minorHAnsi" w:hAnsiTheme="minorHAnsi" w:cstheme="minorHAnsi"/>
          <w:spacing w:val="1"/>
          <w:lang w:val="it-IT"/>
        </w:rPr>
      </w:pPr>
      <w:r w:rsidRPr="00423C43">
        <w:rPr>
          <w:rFonts w:asciiTheme="minorHAnsi" w:hAnsiTheme="minorHAnsi" w:cstheme="minorHAnsi"/>
          <w:spacing w:val="1"/>
          <w:lang w:val="it-IT"/>
        </w:rPr>
        <w:t xml:space="preserve">Il CNC NUM </w:t>
      </w:r>
      <w:proofErr w:type="spellStart"/>
      <w:r w:rsidRPr="00423C43">
        <w:rPr>
          <w:rFonts w:asciiTheme="minorHAnsi" w:hAnsiTheme="minorHAnsi" w:cstheme="minorHAnsi"/>
          <w:spacing w:val="1"/>
          <w:lang w:val="it-IT"/>
        </w:rPr>
        <w:t>Flexium</w:t>
      </w:r>
      <w:proofErr w:type="spellEnd"/>
      <w:r w:rsidRPr="00423C43">
        <w:rPr>
          <w:rFonts w:asciiTheme="minorHAnsi" w:hAnsiTheme="minorHAnsi" w:cstheme="minorHAnsi"/>
          <w:spacing w:val="1"/>
          <w:position w:val="4"/>
          <w:lang w:val="it-IT"/>
        </w:rPr>
        <w:t>+</w:t>
      </w:r>
      <w:r w:rsidRPr="00423C43">
        <w:rPr>
          <w:rFonts w:asciiTheme="minorHAnsi" w:hAnsiTheme="minorHAnsi" w:cstheme="minorHAnsi"/>
          <w:spacing w:val="1"/>
          <w:lang w:val="it-IT"/>
        </w:rPr>
        <w:t xml:space="preserve"> e il sistema di </w:t>
      </w:r>
      <w:proofErr w:type="spellStart"/>
      <w:r w:rsidRPr="00423C43">
        <w:rPr>
          <w:rFonts w:asciiTheme="minorHAnsi" w:hAnsiTheme="minorHAnsi" w:cstheme="minorHAnsi"/>
          <w:spacing w:val="1"/>
          <w:lang w:val="it-IT"/>
        </w:rPr>
        <w:t>servoazionamenti</w:t>
      </w:r>
      <w:proofErr w:type="spellEnd"/>
      <w:r w:rsidRPr="00423C43">
        <w:rPr>
          <w:rFonts w:asciiTheme="minorHAnsi" w:hAnsiTheme="minorHAnsi" w:cstheme="minorHAnsi"/>
          <w:spacing w:val="1"/>
          <w:lang w:val="it-IT"/>
        </w:rPr>
        <w:t xml:space="preserve"> MDLUX sono la soluzione ideale, fornendo una piattaforma hardware e software unica che si integra perfettamente con machine base non elicoidali e si estende alle macchine più complesse a doppia </w:t>
      </w:r>
      <w:proofErr w:type="spellStart"/>
      <w:r w:rsidRPr="00423C43">
        <w:rPr>
          <w:rFonts w:asciiTheme="minorHAnsi" w:hAnsiTheme="minorHAnsi" w:cstheme="minorHAnsi"/>
          <w:spacing w:val="1"/>
          <w:lang w:val="it-IT"/>
        </w:rPr>
        <w:t>ram</w:t>
      </w:r>
      <w:proofErr w:type="spellEnd"/>
      <w:r w:rsidRPr="00423C43">
        <w:rPr>
          <w:rFonts w:asciiTheme="minorHAnsi" w:hAnsiTheme="minorHAnsi" w:cstheme="minorHAnsi"/>
          <w:spacing w:val="1"/>
          <w:lang w:val="it-IT"/>
        </w:rPr>
        <w:t xml:space="preserve"> e elicoidali di NIDEC. Questo approccio consente ai produttori di apparecchiature originali (OEM) di capitalizzare l’esperienza applicativa, ottimizzando l’efficienza dell’ingegneria di controllo per fornire macchine competitive. I kit di motori/azionamenti MDLUX di NUM per gli assi (noti come </w:t>
      </w:r>
      <w:proofErr w:type="spellStart"/>
      <w:r w:rsidRPr="00423C43">
        <w:rPr>
          <w:rFonts w:asciiTheme="minorHAnsi" w:hAnsiTheme="minorHAnsi" w:cstheme="minorHAnsi"/>
          <w:spacing w:val="1"/>
          <w:lang w:val="it-IT"/>
        </w:rPr>
        <w:t>Loader</w:t>
      </w:r>
      <w:proofErr w:type="spellEnd"/>
      <w:r w:rsidRPr="00423C43">
        <w:rPr>
          <w:rFonts w:asciiTheme="minorHAnsi" w:hAnsiTheme="minorHAnsi" w:cstheme="minorHAnsi"/>
          <w:spacing w:val="1"/>
          <w:lang w:val="it-IT"/>
        </w:rPr>
        <w:t xml:space="preserve">, Handling e </w:t>
      </w:r>
      <w:proofErr w:type="spellStart"/>
      <w:r w:rsidRPr="00423C43">
        <w:rPr>
          <w:rFonts w:asciiTheme="minorHAnsi" w:hAnsiTheme="minorHAnsi" w:cstheme="minorHAnsi"/>
          <w:spacing w:val="1"/>
          <w:lang w:val="it-IT"/>
        </w:rPr>
        <w:t>Ram</w:t>
      </w:r>
      <w:proofErr w:type="spellEnd"/>
      <w:r w:rsidRPr="00423C43">
        <w:rPr>
          <w:rFonts w:asciiTheme="minorHAnsi" w:hAnsiTheme="minorHAnsi" w:cstheme="minorHAnsi"/>
          <w:spacing w:val="1"/>
          <w:lang w:val="it-IT"/>
        </w:rPr>
        <w:t>) sono l’emblema della versatilità nel controllo del movimento, in grado di fornire la precisione richiesta e la potenza necessaria per il processo di brocciatura.</w:t>
      </w:r>
    </w:p>
    <w:p w:rsidR="00423C43" w:rsidRPr="00423C43" w:rsidRDefault="00423C43" w:rsidP="00423C43">
      <w:pPr>
        <w:rPr>
          <w:rFonts w:asciiTheme="minorHAnsi" w:hAnsiTheme="minorHAnsi" w:cstheme="minorHAnsi"/>
          <w:spacing w:val="1"/>
          <w:lang w:val="it-IT"/>
        </w:rPr>
      </w:pPr>
      <w:r w:rsidRPr="00423C43">
        <w:rPr>
          <w:rFonts w:asciiTheme="minorHAnsi" w:hAnsiTheme="minorHAnsi" w:cstheme="minorHAnsi"/>
          <w:spacing w:val="1"/>
          <w:lang w:val="it-IT"/>
        </w:rPr>
        <w:t xml:space="preserve">I vantaggi principali del CNC e degli azionamenti NUM sono: precisione, flessibilità, efficienza energetica, requisiti minimi di manutenzione e un maggiore controllo del processo di lavorazione. Questi attributi contribuiscono collettivamente a migliorare la produttività, l’efficienza operativa e l’efficacia dei costi per Federal </w:t>
      </w:r>
      <w:proofErr w:type="spellStart"/>
      <w:r w:rsidRPr="00423C43">
        <w:rPr>
          <w:rFonts w:asciiTheme="minorHAnsi" w:hAnsiTheme="minorHAnsi" w:cstheme="minorHAnsi"/>
          <w:spacing w:val="1"/>
          <w:lang w:val="it-IT"/>
        </w:rPr>
        <w:t>Broach</w:t>
      </w:r>
      <w:proofErr w:type="spellEnd"/>
      <w:r w:rsidRPr="00423C43">
        <w:rPr>
          <w:rFonts w:asciiTheme="minorHAnsi" w:hAnsiTheme="minorHAnsi" w:cstheme="minorHAnsi"/>
          <w:spacing w:val="1"/>
          <w:lang w:val="it-IT"/>
        </w:rPr>
        <w:t xml:space="preserve"> e i suoi clienti.</w:t>
      </w:r>
    </w:p>
    <w:p w:rsidR="00423C43" w:rsidRPr="00423C43" w:rsidRDefault="00423C43" w:rsidP="00423C43">
      <w:pPr>
        <w:rPr>
          <w:rFonts w:asciiTheme="minorHAnsi" w:hAnsiTheme="minorHAnsi" w:cstheme="minorHAnsi"/>
          <w:spacing w:val="1"/>
          <w:lang w:val="it-IT"/>
        </w:rPr>
      </w:pPr>
    </w:p>
    <w:p w:rsidR="00423C43" w:rsidRPr="00423C43" w:rsidRDefault="00423C43" w:rsidP="00423C43">
      <w:pPr>
        <w:rPr>
          <w:rFonts w:asciiTheme="minorHAnsi" w:hAnsiTheme="minorHAnsi" w:cstheme="minorHAnsi"/>
          <w:spacing w:val="1"/>
          <w:lang w:val="it-IT"/>
        </w:rPr>
      </w:pPr>
      <w:r w:rsidRPr="00423C43">
        <w:rPr>
          <w:rFonts w:asciiTheme="minorHAnsi" w:hAnsiTheme="minorHAnsi" w:cstheme="minorHAnsi"/>
          <w:spacing w:val="1"/>
          <w:lang w:val="it-IT"/>
        </w:rPr>
        <w:t xml:space="preserve">Questa macchina all’avanguardia di Federal </w:t>
      </w:r>
      <w:proofErr w:type="spellStart"/>
      <w:r w:rsidRPr="00423C43">
        <w:rPr>
          <w:rFonts w:asciiTheme="minorHAnsi" w:hAnsiTheme="minorHAnsi" w:cstheme="minorHAnsi"/>
          <w:spacing w:val="1"/>
          <w:lang w:val="it-IT"/>
        </w:rPr>
        <w:t>Broach</w:t>
      </w:r>
      <w:proofErr w:type="spellEnd"/>
      <w:r w:rsidRPr="00423C43">
        <w:rPr>
          <w:rFonts w:asciiTheme="minorHAnsi" w:hAnsiTheme="minorHAnsi" w:cstheme="minorHAnsi"/>
          <w:spacing w:val="1"/>
          <w:lang w:val="it-IT"/>
        </w:rPr>
        <w:t xml:space="preserve">, fornita da NUM, dimostra la perfetta integrazione di tecnologia all’avanguardia e ingegneria di precisione. Il Sistema </w:t>
      </w:r>
      <w:proofErr w:type="spellStart"/>
      <w:r w:rsidRPr="00423C43">
        <w:rPr>
          <w:rFonts w:asciiTheme="minorHAnsi" w:hAnsiTheme="minorHAnsi" w:cstheme="minorHAnsi"/>
          <w:spacing w:val="1"/>
          <w:lang w:val="it-IT"/>
        </w:rPr>
        <w:t>Flexium</w:t>
      </w:r>
      <w:proofErr w:type="spellEnd"/>
      <w:r w:rsidRPr="00423C43">
        <w:rPr>
          <w:rFonts w:asciiTheme="minorHAnsi" w:hAnsiTheme="minorHAnsi" w:cstheme="minorHAnsi"/>
          <w:spacing w:val="1"/>
          <w:lang w:val="it-IT"/>
        </w:rPr>
        <w:t xml:space="preserve"> 6</w:t>
      </w:r>
      <w:r w:rsidRPr="00423C43">
        <w:rPr>
          <w:rFonts w:asciiTheme="minorHAnsi" w:hAnsiTheme="minorHAnsi" w:cstheme="minorHAnsi"/>
          <w:spacing w:val="1"/>
          <w:position w:val="4"/>
          <w:lang w:val="it-IT"/>
        </w:rPr>
        <w:t>+</w:t>
      </w:r>
      <w:r w:rsidRPr="00423C43">
        <w:rPr>
          <w:rFonts w:asciiTheme="minorHAnsi" w:hAnsiTheme="minorHAnsi" w:cstheme="minorHAnsi"/>
          <w:spacing w:val="1"/>
          <w:lang w:val="it-IT"/>
        </w:rPr>
        <w:t xml:space="preserve"> di NUM funge da “pietra miliare”, fornendo una solida piattaforma per operazioni semplificate. Caratteristiche degne di nota come la funzione </w:t>
      </w:r>
      <w:proofErr w:type="spellStart"/>
      <w:r w:rsidRPr="00423C43">
        <w:rPr>
          <w:rFonts w:asciiTheme="minorHAnsi" w:hAnsiTheme="minorHAnsi" w:cstheme="minorHAnsi"/>
          <w:spacing w:val="1"/>
          <w:lang w:val="it-IT"/>
        </w:rPr>
        <w:t>Early</w:t>
      </w:r>
      <w:proofErr w:type="spellEnd"/>
      <w:r w:rsidRPr="00423C43">
        <w:rPr>
          <w:rFonts w:asciiTheme="minorHAnsi" w:hAnsiTheme="minorHAnsi" w:cstheme="minorHAnsi"/>
          <w:spacing w:val="1"/>
          <w:lang w:val="it-IT"/>
        </w:rPr>
        <w:t xml:space="preserve"> </w:t>
      </w:r>
      <w:proofErr w:type="spellStart"/>
      <w:r w:rsidRPr="00423C43">
        <w:rPr>
          <w:rFonts w:asciiTheme="minorHAnsi" w:hAnsiTheme="minorHAnsi" w:cstheme="minorHAnsi"/>
          <w:spacing w:val="1"/>
          <w:lang w:val="it-IT"/>
        </w:rPr>
        <w:t>Block</w:t>
      </w:r>
      <w:proofErr w:type="spellEnd"/>
      <w:r w:rsidRPr="00423C43">
        <w:rPr>
          <w:rFonts w:asciiTheme="minorHAnsi" w:hAnsiTheme="minorHAnsi" w:cstheme="minorHAnsi"/>
          <w:spacing w:val="1"/>
          <w:lang w:val="it-IT"/>
        </w:rPr>
        <w:t xml:space="preserve"> </w:t>
      </w:r>
      <w:proofErr w:type="spellStart"/>
      <w:r w:rsidRPr="00423C43">
        <w:rPr>
          <w:rFonts w:asciiTheme="minorHAnsi" w:hAnsiTheme="minorHAnsi" w:cstheme="minorHAnsi"/>
          <w:spacing w:val="1"/>
          <w:lang w:val="it-IT"/>
        </w:rPr>
        <w:t>Change</w:t>
      </w:r>
      <w:proofErr w:type="spellEnd"/>
      <w:r w:rsidRPr="00423C43">
        <w:rPr>
          <w:rFonts w:asciiTheme="minorHAnsi" w:hAnsiTheme="minorHAnsi" w:cstheme="minorHAnsi"/>
          <w:spacing w:val="1"/>
          <w:lang w:val="it-IT"/>
        </w:rPr>
        <w:t xml:space="preserve"> per iniziare a eseguire il movimento del blocco successivo prima che il blocco corrente sia terminato, un sistema di controllo PLC standardizzato, moduli di sicurezza e IO </w:t>
      </w:r>
      <w:proofErr w:type="spellStart"/>
      <w:r w:rsidRPr="00423C43">
        <w:rPr>
          <w:rFonts w:asciiTheme="minorHAnsi" w:hAnsiTheme="minorHAnsi" w:cstheme="minorHAnsi"/>
          <w:spacing w:val="1"/>
          <w:lang w:val="it-IT"/>
        </w:rPr>
        <w:t>EtherCAT</w:t>
      </w:r>
      <w:proofErr w:type="spellEnd"/>
      <w:r w:rsidRPr="00423C43">
        <w:rPr>
          <w:rFonts w:asciiTheme="minorHAnsi" w:hAnsiTheme="minorHAnsi" w:cstheme="minorHAnsi"/>
          <w:spacing w:val="1"/>
          <w:lang w:val="it-IT"/>
        </w:rPr>
        <w:t xml:space="preserve"> flessibili e una maggiore facilità d’uso da parte dell’operatore grazie ad un display FS122 da 12 pollici con HMI dedicate ai processi di </w:t>
      </w:r>
      <w:r w:rsidRPr="00423C43">
        <w:rPr>
          <w:rFonts w:asciiTheme="minorHAnsi" w:hAnsiTheme="minorHAnsi" w:cstheme="minorHAnsi"/>
          <w:spacing w:val="1"/>
          <w:lang w:val="it-IT"/>
        </w:rPr>
        <w:lastRenderedPageBreak/>
        <w:t xml:space="preserve">lavorazione, contribuiscono all’impegno di Federal </w:t>
      </w:r>
      <w:proofErr w:type="spellStart"/>
      <w:r w:rsidRPr="00423C43">
        <w:rPr>
          <w:rFonts w:asciiTheme="minorHAnsi" w:hAnsiTheme="minorHAnsi" w:cstheme="minorHAnsi"/>
          <w:spacing w:val="1"/>
          <w:lang w:val="it-IT"/>
        </w:rPr>
        <w:t>Broach</w:t>
      </w:r>
      <w:proofErr w:type="spellEnd"/>
      <w:r w:rsidRPr="00423C43">
        <w:rPr>
          <w:rFonts w:asciiTheme="minorHAnsi" w:hAnsiTheme="minorHAnsi" w:cstheme="minorHAnsi"/>
          <w:spacing w:val="1"/>
          <w:lang w:val="it-IT"/>
        </w:rPr>
        <w:t xml:space="preserve"> nel fornire macchine efficienti, di alta qualità e sicurezza.</w:t>
      </w:r>
    </w:p>
    <w:p w:rsidR="00423C43" w:rsidRPr="00423C43" w:rsidRDefault="00423C43" w:rsidP="00423C43">
      <w:pPr>
        <w:rPr>
          <w:rFonts w:asciiTheme="minorHAnsi" w:hAnsiTheme="minorHAnsi" w:cstheme="minorHAnsi"/>
          <w:spacing w:val="1"/>
          <w:lang w:val="it-IT"/>
        </w:rPr>
      </w:pPr>
    </w:p>
    <w:p w:rsidR="00C625AF" w:rsidRPr="00423C43" w:rsidRDefault="00423C43" w:rsidP="00423C43">
      <w:pPr>
        <w:rPr>
          <w:rFonts w:asciiTheme="minorHAnsi" w:hAnsiTheme="minorHAnsi" w:cstheme="minorHAnsi"/>
          <w:sz w:val="20"/>
          <w:szCs w:val="20"/>
          <w:lang w:val="it-IT"/>
        </w:rPr>
      </w:pPr>
      <w:r w:rsidRPr="00423C43">
        <w:rPr>
          <w:rFonts w:asciiTheme="minorHAnsi" w:hAnsiTheme="minorHAnsi" w:cstheme="minorHAnsi"/>
          <w:spacing w:val="1"/>
          <w:lang w:val="it-IT"/>
        </w:rPr>
        <w:t xml:space="preserve">La collaborazione di successo tra Federal </w:t>
      </w:r>
      <w:proofErr w:type="spellStart"/>
      <w:r w:rsidRPr="00423C43">
        <w:rPr>
          <w:rFonts w:asciiTheme="minorHAnsi" w:hAnsiTheme="minorHAnsi" w:cstheme="minorHAnsi"/>
          <w:spacing w:val="1"/>
          <w:lang w:val="it-IT"/>
        </w:rPr>
        <w:t>Broach</w:t>
      </w:r>
      <w:proofErr w:type="spellEnd"/>
      <w:r w:rsidRPr="00423C43">
        <w:rPr>
          <w:rFonts w:asciiTheme="minorHAnsi" w:hAnsiTheme="minorHAnsi" w:cstheme="minorHAnsi"/>
          <w:spacing w:val="1"/>
          <w:lang w:val="it-IT"/>
        </w:rPr>
        <w:t xml:space="preserve"> e NUM incarna la forza dell’innovazione, delle alleanze strategiche e della dedizione reciproca al miglioramento delle capacità produttive. L’ampio utilizzo di componenti NUM nella brocciatrice 10T riflette la profondità e l’ampiezza di questa partnership, riaffermando la dedizione di Federal </w:t>
      </w:r>
      <w:proofErr w:type="spellStart"/>
      <w:r w:rsidRPr="00423C43">
        <w:rPr>
          <w:rFonts w:asciiTheme="minorHAnsi" w:hAnsiTheme="minorHAnsi" w:cstheme="minorHAnsi"/>
          <w:spacing w:val="1"/>
          <w:lang w:val="it-IT"/>
        </w:rPr>
        <w:t>Broach</w:t>
      </w:r>
      <w:proofErr w:type="spellEnd"/>
      <w:r w:rsidRPr="00423C43">
        <w:rPr>
          <w:rFonts w:asciiTheme="minorHAnsi" w:hAnsiTheme="minorHAnsi" w:cstheme="minorHAnsi"/>
          <w:spacing w:val="1"/>
          <w:lang w:val="it-IT"/>
        </w:rPr>
        <w:t xml:space="preserve"> all’innovazione e all’eccellenza nella produzione. Mentre Federal </w:t>
      </w:r>
      <w:proofErr w:type="spellStart"/>
      <w:r w:rsidRPr="00423C43">
        <w:rPr>
          <w:rFonts w:asciiTheme="minorHAnsi" w:hAnsiTheme="minorHAnsi" w:cstheme="minorHAnsi"/>
          <w:spacing w:val="1"/>
          <w:lang w:val="it-IT"/>
        </w:rPr>
        <w:t>Broach</w:t>
      </w:r>
      <w:proofErr w:type="spellEnd"/>
      <w:r w:rsidRPr="00423C43">
        <w:rPr>
          <w:rFonts w:asciiTheme="minorHAnsi" w:hAnsiTheme="minorHAnsi" w:cstheme="minorHAnsi"/>
          <w:spacing w:val="1"/>
          <w:lang w:val="it-IT"/>
        </w:rPr>
        <w:t xml:space="preserve"> è all’avanguardia nella precisione e nell’innovazione della produzione di utensili di brocciatura, NUM continua a essere un partner affidabile nella promozione dell’efficienza, della qualità e del progresso tecnologico.</w:t>
      </w:r>
      <w:r w:rsidR="00C625AF" w:rsidRPr="00423C43">
        <w:rPr>
          <w:rFonts w:asciiTheme="minorHAnsi" w:hAnsiTheme="minorHAnsi" w:cstheme="minorHAnsi"/>
          <w:sz w:val="20"/>
          <w:szCs w:val="20"/>
          <w:lang w:val="it-IT"/>
        </w:rPr>
        <w:br w:type="page"/>
      </w:r>
    </w:p>
    <w:p w:rsidR="00E6188F" w:rsidRPr="00423C43" w:rsidRDefault="00C625AF" w:rsidP="00423C43">
      <w:pPr>
        <w:pStyle w:val="berschrift2"/>
        <w:rPr>
          <w:lang w:val="en-US"/>
        </w:rPr>
      </w:pPr>
      <w:r w:rsidRPr="00423C43">
        <w:rPr>
          <w:lang w:val="en-US"/>
        </w:rPr>
        <w:lastRenderedPageBreak/>
        <w:t>Images and captions:</w:t>
      </w:r>
    </w:p>
    <w:p w:rsidR="00C625AF" w:rsidRPr="00423C43" w:rsidRDefault="00C625AF" w:rsidP="00423C43">
      <w:pPr>
        <w:rPr>
          <w:rFonts w:asciiTheme="minorHAnsi" w:hAnsiTheme="minorHAnsi" w:cstheme="minorHAnsi"/>
          <w:sz w:val="20"/>
          <w:szCs w:val="20"/>
          <w:lang w:val="en-US"/>
        </w:rPr>
      </w:pPr>
      <w:r w:rsidRPr="00423C43">
        <w:rPr>
          <w:rFonts w:asciiTheme="minorHAnsi" w:hAnsiTheme="minorHAnsi" w:cstheme="minorHAnsi"/>
          <w:noProof/>
          <w:sz w:val="20"/>
          <w:szCs w:val="20"/>
          <w:lang w:val="en-US"/>
        </w:rPr>
        <w:drawing>
          <wp:inline distT="0" distB="0" distL="0" distR="0" wp14:anchorId="2D3032D6" wp14:editId="02572F78">
            <wp:extent cx="1625367" cy="28575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633293" cy="2871434"/>
                    </a:xfrm>
                    <a:prstGeom prst="rect">
                      <a:avLst/>
                    </a:prstGeom>
                  </pic:spPr>
                </pic:pic>
              </a:graphicData>
            </a:graphic>
          </wp:inline>
        </w:drawing>
      </w:r>
      <w:bookmarkStart w:id="0" w:name="_GoBack"/>
      <w:bookmarkEnd w:id="0"/>
    </w:p>
    <w:p w:rsidR="00423C43" w:rsidRPr="00423C43" w:rsidRDefault="00423C43" w:rsidP="00423C43">
      <w:pPr>
        <w:rPr>
          <w:rFonts w:asciiTheme="minorHAnsi" w:hAnsiTheme="minorHAnsi" w:cstheme="minorHAnsi"/>
          <w:i/>
          <w:iCs/>
          <w:lang w:val="it-IT"/>
        </w:rPr>
      </w:pPr>
      <w:r w:rsidRPr="00423C43">
        <w:rPr>
          <w:rFonts w:asciiTheme="minorHAnsi" w:hAnsiTheme="minorHAnsi" w:cstheme="minorHAnsi"/>
          <w:i/>
          <w:iCs/>
          <w:lang w:val="it-IT"/>
        </w:rPr>
        <w:t>Quadro elettrico</w:t>
      </w:r>
    </w:p>
    <w:p w:rsidR="00423C43" w:rsidRPr="00423C43" w:rsidRDefault="00423C43" w:rsidP="00423C43">
      <w:pPr>
        <w:rPr>
          <w:rFonts w:asciiTheme="minorHAnsi" w:hAnsiTheme="minorHAnsi" w:cstheme="minorHAnsi"/>
          <w:sz w:val="20"/>
          <w:szCs w:val="20"/>
          <w:lang w:val="en-US"/>
        </w:rPr>
      </w:pPr>
    </w:p>
    <w:p w:rsidR="00C625AF" w:rsidRPr="00423C43" w:rsidRDefault="00C625AF" w:rsidP="00423C43">
      <w:pPr>
        <w:rPr>
          <w:rFonts w:asciiTheme="minorHAnsi" w:hAnsiTheme="minorHAnsi" w:cstheme="minorHAnsi"/>
          <w:sz w:val="20"/>
          <w:szCs w:val="20"/>
          <w:lang w:val="en-US"/>
        </w:rPr>
      </w:pPr>
      <w:r w:rsidRPr="00423C43">
        <w:rPr>
          <w:rFonts w:asciiTheme="minorHAnsi" w:hAnsiTheme="minorHAnsi" w:cstheme="minorHAnsi"/>
          <w:noProof/>
          <w:sz w:val="20"/>
          <w:szCs w:val="20"/>
          <w:lang w:val="en-US"/>
        </w:rPr>
        <w:drawing>
          <wp:inline distT="0" distB="0" distL="0" distR="0" wp14:anchorId="0F6CE5E2" wp14:editId="036B0EDC">
            <wp:extent cx="1781175" cy="2122251"/>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792622" cy="2135891"/>
                    </a:xfrm>
                    <a:prstGeom prst="rect">
                      <a:avLst/>
                    </a:prstGeom>
                  </pic:spPr>
                </pic:pic>
              </a:graphicData>
            </a:graphic>
          </wp:inline>
        </w:drawing>
      </w:r>
    </w:p>
    <w:p w:rsidR="00423C43" w:rsidRPr="00423C43" w:rsidRDefault="00423C43" w:rsidP="00423C43">
      <w:pPr>
        <w:rPr>
          <w:rFonts w:asciiTheme="minorHAnsi" w:hAnsiTheme="minorHAnsi" w:cstheme="minorHAnsi"/>
          <w:i/>
          <w:iCs/>
          <w:lang w:val="it-IT"/>
        </w:rPr>
      </w:pPr>
      <w:r w:rsidRPr="00423C43">
        <w:rPr>
          <w:rFonts w:asciiTheme="minorHAnsi" w:hAnsiTheme="minorHAnsi" w:cstheme="minorHAnsi"/>
          <w:i/>
          <w:iCs/>
          <w:lang w:val="it-IT"/>
        </w:rPr>
        <w:t xml:space="preserve">NIDEC/Federal </w:t>
      </w:r>
      <w:proofErr w:type="spellStart"/>
      <w:r w:rsidRPr="00423C43">
        <w:rPr>
          <w:rFonts w:asciiTheme="minorHAnsi" w:hAnsiTheme="minorHAnsi" w:cstheme="minorHAnsi"/>
          <w:i/>
          <w:iCs/>
          <w:lang w:val="it-IT"/>
        </w:rPr>
        <w:t>Broach</w:t>
      </w:r>
      <w:proofErr w:type="spellEnd"/>
      <w:r w:rsidRPr="00423C43">
        <w:rPr>
          <w:rFonts w:asciiTheme="minorHAnsi" w:hAnsiTheme="minorHAnsi" w:cstheme="minorHAnsi"/>
          <w:i/>
          <w:iCs/>
          <w:lang w:val="it-IT"/>
        </w:rPr>
        <w:t xml:space="preserve"> Modello VRT con NUM </w:t>
      </w:r>
      <w:proofErr w:type="spellStart"/>
      <w:r w:rsidRPr="00423C43">
        <w:rPr>
          <w:rFonts w:asciiTheme="minorHAnsi" w:hAnsiTheme="minorHAnsi" w:cstheme="minorHAnsi"/>
          <w:i/>
          <w:iCs/>
          <w:lang w:val="it-IT"/>
        </w:rPr>
        <w:t>Flexium</w:t>
      </w:r>
      <w:proofErr w:type="spellEnd"/>
      <w:r w:rsidRPr="00423C43">
        <w:rPr>
          <w:rFonts w:asciiTheme="minorHAnsi" w:hAnsiTheme="minorHAnsi" w:cstheme="minorHAnsi"/>
          <w:i/>
          <w:iCs/>
          <w:position w:val="4"/>
          <w:lang w:val="it-IT"/>
        </w:rPr>
        <w:t>+</w:t>
      </w:r>
      <w:r w:rsidRPr="00423C43">
        <w:rPr>
          <w:rFonts w:asciiTheme="minorHAnsi" w:hAnsiTheme="minorHAnsi" w:cstheme="minorHAnsi"/>
          <w:i/>
          <w:iCs/>
          <w:lang w:val="it-IT"/>
        </w:rPr>
        <w:t xml:space="preserve"> alla </w:t>
      </w:r>
      <w:proofErr w:type="spellStart"/>
      <w:r w:rsidRPr="00423C43">
        <w:rPr>
          <w:rFonts w:asciiTheme="minorHAnsi" w:hAnsiTheme="minorHAnsi" w:cstheme="minorHAnsi"/>
          <w:i/>
          <w:iCs/>
          <w:lang w:val="it-IT"/>
        </w:rPr>
        <w:t>Motion+Power</w:t>
      </w:r>
      <w:proofErr w:type="spellEnd"/>
      <w:r w:rsidRPr="00423C43">
        <w:rPr>
          <w:rFonts w:asciiTheme="minorHAnsi" w:hAnsiTheme="minorHAnsi" w:cstheme="minorHAnsi"/>
          <w:i/>
          <w:iCs/>
          <w:lang w:val="it-IT"/>
        </w:rPr>
        <w:t xml:space="preserve"> Expo 2023 (Detroit, MI)</w:t>
      </w:r>
    </w:p>
    <w:p w:rsidR="00C625AF" w:rsidRPr="00423C43" w:rsidRDefault="00C625AF" w:rsidP="00423C43">
      <w:pPr>
        <w:rPr>
          <w:rFonts w:asciiTheme="minorHAnsi" w:hAnsiTheme="minorHAnsi" w:cstheme="minorHAnsi"/>
          <w:sz w:val="20"/>
          <w:szCs w:val="20"/>
          <w:lang w:val="en-US"/>
        </w:rPr>
      </w:pPr>
      <w:r w:rsidRPr="00423C43">
        <w:rPr>
          <w:rFonts w:asciiTheme="minorHAnsi" w:hAnsiTheme="minorHAnsi" w:cstheme="minorHAnsi"/>
          <w:sz w:val="20"/>
          <w:szCs w:val="20"/>
          <w:lang w:val="en-US"/>
        </w:rPr>
        <w:br w:type="page"/>
      </w:r>
    </w:p>
    <w:p w:rsidR="00C625AF" w:rsidRPr="00423C43" w:rsidRDefault="00C625AF" w:rsidP="00423C43">
      <w:pPr>
        <w:rPr>
          <w:rFonts w:asciiTheme="minorHAnsi" w:hAnsiTheme="minorHAnsi" w:cstheme="minorHAnsi"/>
          <w:sz w:val="20"/>
          <w:szCs w:val="20"/>
          <w:lang w:val="en-US"/>
        </w:rPr>
      </w:pPr>
      <w:r w:rsidRPr="00423C43">
        <w:rPr>
          <w:rFonts w:asciiTheme="minorHAnsi" w:hAnsiTheme="minorHAnsi" w:cstheme="minorHAnsi"/>
          <w:noProof/>
          <w:sz w:val="20"/>
          <w:szCs w:val="20"/>
          <w:lang w:val="en-US"/>
        </w:rPr>
        <w:lastRenderedPageBreak/>
        <w:drawing>
          <wp:inline distT="0" distB="0" distL="0" distR="0" wp14:anchorId="69901C59" wp14:editId="22A13FD5">
            <wp:extent cx="1581371" cy="2010056"/>
            <wp:effectExtent l="0" t="0" r="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581371" cy="2010056"/>
                    </a:xfrm>
                    <a:prstGeom prst="rect">
                      <a:avLst/>
                    </a:prstGeom>
                  </pic:spPr>
                </pic:pic>
              </a:graphicData>
            </a:graphic>
          </wp:inline>
        </w:drawing>
      </w:r>
    </w:p>
    <w:p w:rsidR="00423C43" w:rsidRPr="00423C43" w:rsidRDefault="00423C43" w:rsidP="00423C43">
      <w:pPr>
        <w:rPr>
          <w:rFonts w:asciiTheme="minorHAnsi" w:hAnsiTheme="minorHAnsi" w:cstheme="minorHAnsi"/>
          <w:i/>
          <w:iCs/>
          <w:lang w:val="it-IT"/>
        </w:rPr>
      </w:pPr>
      <w:r w:rsidRPr="00423C43">
        <w:rPr>
          <w:rFonts w:asciiTheme="minorHAnsi" w:hAnsiTheme="minorHAnsi" w:cstheme="minorHAnsi"/>
          <w:i/>
          <w:iCs/>
          <w:lang w:val="it-IT"/>
        </w:rPr>
        <w:t xml:space="preserve">HMI 12” FS122 </w:t>
      </w:r>
      <w:proofErr w:type="spellStart"/>
      <w:r w:rsidRPr="00423C43">
        <w:rPr>
          <w:rFonts w:asciiTheme="minorHAnsi" w:hAnsiTheme="minorHAnsi" w:cstheme="minorHAnsi"/>
          <w:i/>
          <w:iCs/>
          <w:lang w:val="it-IT"/>
        </w:rPr>
        <w:t>touch</w:t>
      </w:r>
      <w:proofErr w:type="spellEnd"/>
      <w:r w:rsidRPr="00423C43">
        <w:rPr>
          <w:rFonts w:asciiTheme="minorHAnsi" w:hAnsiTheme="minorHAnsi" w:cstheme="minorHAnsi"/>
          <w:i/>
          <w:iCs/>
          <w:lang w:val="it-IT"/>
        </w:rPr>
        <w:t xml:space="preserve"> screen con pannello macchina MP08 tutto personalizzato tramite la logica PLC, comprese le schermate di visualizzazione per la programmazione e il funzionamento.</w:t>
      </w:r>
    </w:p>
    <w:p w:rsidR="00423C43" w:rsidRPr="00423C43" w:rsidRDefault="00423C43" w:rsidP="00423C43">
      <w:pPr>
        <w:rPr>
          <w:rFonts w:asciiTheme="minorHAnsi" w:hAnsiTheme="minorHAnsi" w:cstheme="minorHAnsi"/>
          <w:sz w:val="20"/>
          <w:szCs w:val="20"/>
          <w:lang w:val="it-IT"/>
        </w:rPr>
      </w:pPr>
    </w:p>
    <w:p w:rsidR="00C625AF" w:rsidRPr="00423C43" w:rsidRDefault="00C625AF" w:rsidP="00423C43">
      <w:pPr>
        <w:rPr>
          <w:rFonts w:asciiTheme="minorHAnsi" w:hAnsiTheme="minorHAnsi" w:cstheme="minorHAnsi"/>
          <w:sz w:val="20"/>
          <w:szCs w:val="20"/>
          <w:lang w:val="en-US"/>
        </w:rPr>
      </w:pPr>
      <w:r w:rsidRPr="00423C43">
        <w:rPr>
          <w:rFonts w:asciiTheme="minorHAnsi" w:hAnsiTheme="minorHAnsi" w:cstheme="minorHAnsi"/>
          <w:noProof/>
          <w:sz w:val="20"/>
          <w:szCs w:val="20"/>
          <w:lang w:val="en-US"/>
        </w:rPr>
        <w:drawing>
          <wp:inline distT="0" distB="0" distL="0" distR="0" wp14:anchorId="0A37191E" wp14:editId="23882708">
            <wp:extent cx="3124636" cy="1876687"/>
            <wp:effectExtent l="0" t="0" r="0" b="952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124636" cy="1876687"/>
                    </a:xfrm>
                    <a:prstGeom prst="rect">
                      <a:avLst/>
                    </a:prstGeom>
                  </pic:spPr>
                </pic:pic>
              </a:graphicData>
            </a:graphic>
          </wp:inline>
        </w:drawing>
      </w:r>
    </w:p>
    <w:p w:rsidR="00423C43" w:rsidRPr="00423C43" w:rsidRDefault="00423C43" w:rsidP="00423C43">
      <w:pPr>
        <w:rPr>
          <w:rFonts w:asciiTheme="minorHAnsi" w:hAnsiTheme="minorHAnsi" w:cstheme="minorHAnsi"/>
          <w:i/>
          <w:iCs/>
          <w:lang w:val="it-IT"/>
        </w:rPr>
      </w:pPr>
      <w:r w:rsidRPr="00423C43">
        <w:rPr>
          <w:rFonts w:asciiTheme="minorHAnsi" w:hAnsiTheme="minorHAnsi" w:cstheme="minorHAnsi"/>
          <w:i/>
          <w:iCs/>
          <w:lang w:val="it-IT"/>
        </w:rPr>
        <w:t>Guscio di finitura per utensile per brocce a spirale</w:t>
      </w:r>
    </w:p>
    <w:p w:rsidR="00423C43" w:rsidRPr="00423C43" w:rsidRDefault="00423C43" w:rsidP="00423C43">
      <w:pPr>
        <w:rPr>
          <w:rFonts w:asciiTheme="minorHAnsi" w:hAnsiTheme="minorHAnsi" w:cstheme="minorHAnsi"/>
          <w:sz w:val="20"/>
          <w:szCs w:val="20"/>
          <w:lang w:val="it-IT"/>
        </w:rPr>
      </w:pPr>
    </w:p>
    <w:p w:rsidR="00C625AF" w:rsidRPr="00423C43" w:rsidRDefault="00C625AF" w:rsidP="00423C43">
      <w:pPr>
        <w:rPr>
          <w:rFonts w:asciiTheme="minorHAnsi" w:hAnsiTheme="minorHAnsi" w:cstheme="minorHAnsi"/>
          <w:sz w:val="20"/>
          <w:szCs w:val="20"/>
          <w:lang w:val="en-US"/>
        </w:rPr>
      </w:pPr>
      <w:r w:rsidRPr="00423C43">
        <w:rPr>
          <w:rFonts w:asciiTheme="minorHAnsi" w:hAnsiTheme="minorHAnsi" w:cstheme="minorHAnsi"/>
          <w:noProof/>
          <w:sz w:val="20"/>
          <w:szCs w:val="20"/>
          <w:lang w:val="en-US"/>
        </w:rPr>
        <w:lastRenderedPageBreak/>
        <w:drawing>
          <wp:inline distT="0" distB="0" distL="0" distR="0" wp14:anchorId="7C531A92" wp14:editId="7FE697C9">
            <wp:extent cx="3134162" cy="3124636"/>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134162" cy="3124636"/>
                    </a:xfrm>
                    <a:prstGeom prst="rect">
                      <a:avLst/>
                    </a:prstGeom>
                  </pic:spPr>
                </pic:pic>
              </a:graphicData>
            </a:graphic>
          </wp:inline>
        </w:drawing>
      </w:r>
    </w:p>
    <w:p w:rsidR="00423C43" w:rsidRPr="00423C43" w:rsidRDefault="00423C43" w:rsidP="00423C43">
      <w:pPr>
        <w:rPr>
          <w:rFonts w:asciiTheme="minorHAnsi" w:hAnsiTheme="minorHAnsi" w:cstheme="minorHAnsi"/>
          <w:i/>
          <w:iCs/>
          <w:lang w:val="it-IT"/>
        </w:rPr>
      </w:pPr>
      <w:r w:rsidRPr="00423C43">
        <w:rPr>
          <w:rFonts w:asciiTheme="minorHAnsi" w:hAnsiTheme="minorHAnsi" w:cstheme="minorHAnsi"/>
          <w:i/>
          <w:iCs/>
          <w:lang w:val="it-IT"/>
        </w:rPr>
        <w:t xml:space="preserve">Federal </w:t>
      </w:r>
      <w:proofErr w:type="spellStart"/>
      <w:r w:rsidRPr="00423C43">
        <w:rPr>
          <w:rFonts w:asciiTheme="minorHAnsi" w:hAnsiTheme="minorHAnsi" w:cstheme="minorHAnsi"/>
          <w:i/>
          <w:iCs/>
          <w:lang w:val="it-IT"/>
        </w:rPr>
        <w:t>Broach</w:t>
      </w:r>
      <w:proofErr w:type="spellEnd"/>
      <w:r w:rsidRPr="00423C43">
        <w:rPr>
          <w:rFonts w:asciiTheme="minorHAnsi" w:hAnsiTheme="minorHAnsi" w:cstheme="minorHAnsi"/>
          <w:i/>
          <w:iCs/>
          <w:lang w:val="it-IT"/>
        </w:rPr>
        <w:t xml:space="preserve"> &amp; Machine Company, fondata nel 1952, è un’azienda di costruzione di utensili e macchine di precisione con sede a Harrison, MI. Specializzata in macchine brocciatrici, utensili per brocce e utensili per il taglio di ingranaggi, Federal </w:t>
      </w:r>
      <w:proofErr w:type="spellStart"/>
      <w:r w:rsidRPr="00423C43">
        <w:rPr>
          <w:rFonts w:asciiTheme="minorHAnsi" w:hAnsiTheme="minorHAnsi" w:cstheme="minorHAnsi"/>
          <w:i/>
          <w:iCs/>
          <w:lang w:val="it-IT"/>
        </w:rPr>
        <w:t>Broach</w:t>
      </w:r>
      <w:proofErr w:type="spellEnd"/>
      <w:r w:rsidRPr="00423C43">
        <w:rPr>
          <w:rFonts w:asciiTheme="minorHAnsi" w:hAnsiTheme="minorHAnsi" w:cstheme="minorHAnsi"/>
          <w:i/>
          <w:iCs/>
          <w:lang w:val="it-IT"/>
        </w:rPr>
        <w:t xml:space="preserve"> ha svolto un ruolo chiave in vari settori, evolvendosi continuamente per soddisfare le richieste del mercato</w:t>
      </w:r>
    </w:p>
    <w:p w:rsidR="00C625AF" w:rsidRPr="00423C43" w:rsidRDefault="00C625AF">
      <w:pPr>
        <w:spacing w:after="0" w:line="240" w:lineRule="auto"/>
        <w:rPr>
          <w:rFonts w:ascii="Arial" w:hAnsi="Arial" w:cs="Arial"/>
          <w:sz w:val="20"/>
          <w:szCs w:val="20"/>
          <w:lang w:val="it-IT"/>
        </w:rPr>
      </w:pPr>
    </w:p>
    <w:p w:rsidR="0000718E" w:rsidRPr="009D4AD5" w:rsidRDefault="00423C43" w:rsidP="00423C43">
      <w:pPr>
        <w:pStyle w:val="berschrift3"/>
        <w:rPr>
          <w:lang w:val="en-US"/>
        </w:rPr>
      </w:pPr>
      <w:r w:rsidRPr="00423C43">
        <w:rPr>
          <w:lang w:val="en-US"/>
        </w:rPr>
        <w:t xml:space="preserve">Per </w:t>
      </w:r>
      <w:proofErr w:type="spellStart"/>
      <w:r w:rsidRPr="00423C43">
        <w:rPr>
          <w:lang w:val="en-US"/>
        </w:rPr>
        <w:t>ulteriori</w:t>
      </w:r>
      <w:proofErr w:type="spellEnd"/>
      <w:r w:rsidRPr="00423C43">
        <w:rPr>
          <w:lang w:val="en-US"/>
        </w:rPr>
        <w:t xml:space="preserve"> </w:t>
      </w:r>
      <w:proofErr w:type="spellStart"/>
      <w:r w:rsidRPr="00423C43">
        <w:rPr>
          <w:lang w:val="en-US"/>
        </w:rPr>
        <w:t>informazioni</w:t>
      </w:r>
      <w:proofErr w:type="spellEnd"/>
      <w:r w:rsidRPr="00423C43">
        <w:rPr>
          <w:lang w:val="en-US"/>
        </w:rPr>
        <w:t xml:space="preserve">, </w:t>
      </w:r>
      <w:proofErr w:type="spellStart"/>
      <w:r w:rsidRPr="00423C43">
        <w:rPr>
          <w:lang w:val="en-US"/>
        </w:rPr>
        <w:t>contattare</w:t>
      </w:r>
      <w:proofErr w:type="spellEnd"/>
      <w:r w:rsidRPr="00423C43">
        <w:rPr>
          <w:lang w:val="en-US"/>
        </w:rPr>
        <w:t>:</w:t>
      </w:r>
    </w:p>
    <w:p w:rsidR="0000718E" w:rsidRPr="009D4AD5" w:rsidRDefault="0000718E" w:rsidP="00423C43">
      <w:r w:rsidRPr="009D4AD5">
        <w:t>NUM Headquarters</w:t>
      </w:r>
    </w:p>
    <w:p w:rsidR="0000718E" w:rsidRPr="009D4AD5" w:rsidRDefault="0000718E" w:rsidP="00423C43">
      <w:r w:rsidRPr="009D4AD5">
        <w:t xml:space="preserve">NUM AG, </w:t>
      </w:r>
      <w:proofErr w:type="spellStart"/>
      <w:r w:rsidRPr="009D4AD5">
        <w:t>Battenhusstrasse</w:t>
      </w:r>
      <w:proofErr w:type="spellEnd"/>
      <w:r w:rsidRPr="009D4AD5">
        <w:t xml:space="preserve"> 16, 9053 Teufen, </w:t>
      </w:r>
      <w:proofErr w:type="spellStart"/>
      <w:r w:rsidRPr="009D4AD5">
        <w:t>Switzerland</w:t>
      </w:r>
      <w:proofErr w:type="spellEnd"/>
    </w:p>
    <w:p w:rsidR="0000718E" w:rsidRPr="009D4AD5" w:rsidRDefault="0000718E" w:rsidP="00423C43">
      <w:r w:rsidRPr="009D4AD5">
        <w:t xml:space="preserve">Tel: +41 71 335 04 11; </w:t>
      </w:r>
      <w:hyperlink r:id="rId12" w:history="1">
        <w:r w:rsidRPr="009D4AD5">
          <w:rPr>
            <w:rStyle w:val="Hyperlink"/>
            <w:rFonts w:ascii="Arial" w:eastAsia="Arial" w:hAnsi="Arial" w:cs="Arial"/>
            <w:sz w:val="20"/>
            <w:szCs w:val="20"/>
          </w:rPr>
          <w:t>sales.ch@num.com</w:t>
        </w:r>
      </w:hyperlink>
      <w:r w:rsidRPr="009D4AD5">
        <w:t xml:space="preserve">, </w:t>
      </w:r>
      <w:hyperlink r:id="rId13" w:history="1">
        <w:r w:rsidRPr="009D4AD5">
          <w:rPr>
            <w:rStyle w:val="Hyperlink"/>
            <w:rFonts w:ascii="Arial" w:eastAsia="Arial" w:hAnsi="Arial" w:cs="Arial"/>
            <w:sz w:val="20"/>
            <w:szCs w:val="20"/>
          </w:rPr>
          <w:t>www.num.com</w:t>
        </w:r>
      </w:hyperlink>
      <w:r w:rsidRPr="009D4AD5">
        <w:t xml:space="preserve"> </w:t>
      </w:r>
    </w:p>
    <w:p w:rsidR="0000718E" w:rsidRPr="009D4AD5" w:rsidRDefault="0000718E" w:rsidP="00423C43"/>
    <w:p w:rsidR="0000718E" w:rsidRPr="009D4AD5" w:rsidRDefault="0000718E" w:rsidP="00423C43">
      <w:pPr>
        <w:rPr>
          <w:lang w:val="en-US"/>
        </w:rPr>
      </w:pPr>
      <w:r w:rsidRPr="009D4AD5">
        <w:rPr>
          <w:lang w:val="en-US"/>
        </w:rPr>
        <w:t>NTC US</w:t>
      </w:r>
    </w:p>
    <w:p w:rsidR="0000718E" w:rsidRPr="009D4AD5" w:rsidRDefault="0000718E" w:rsidP="00423C43">
      <w:pPr>
        <w:rPr>
          <w:lang w:val="en-US"/>
        </w:rPr>
      </w:pPr>
      <w:r w:rsidRPr="009D4AD5">
        <w:rPr>
          <w:lang w:val="en-US"/>
        </w:rPr>
        <w:t xml:space="preserve">Steve Schilling, NUM Corporation, 603 East Diehl Road, Suite 115, Naperville, IL 60563, USA. </w:t>
      </w:r>
    </w:p>
    <w:p w:rsidR="0000718E" w:rsidRPr="009D4AD5" w:rsidRDefault="0000718E" w:rsidP="00423C43">
      <w:r w:rsidRPr="009D4AD5">
        <w:t xml:space="preserve">Tel: 630 505 77 22; </w:t>
      </w:r>
      <w:hyperlink r:id="rId14">
        <w:r w:rsidRPr="009D4AD5">
          <w:rPr>
            <w:color w:val="0000FF"/>
            <w:u w:val="single"/>
          </w:rPr>
          <w:t>sales.us@num.com</w:t>
        </w:r>
      </w:hyperlink>
      <w:r w:rsidRPr="009D4AD5">
        <w:t xml:space="preserve">; </w:t>
      </w:r>
      <w:hyperlink r:id="rId15">
        <w:r w:rsidRPr="009D4AD5">
          <w:rPr>
            <w:color w:val="0000FF"/>
            <w:u w:val="single"/>
          </w:rPr>
          <w:t>www.num.com</w:t>
        </w:r>
      </w:hyperlink>
    </w:p>
    <w:p w:rsidR="0000718E" w:rsidRPr="009D4AD5" w:rsidRDefault="0000718E" w:rsidP="0000718E">
      <w:pPr>
        <w:rPr>
          <w:rFonts w:ascii="Arial" w:hAnsi="Arial" w:cs="Arial"/>
          <w:sz w:val="20"/>
          <w:szCs w:val="20"/>
        </w:rPr>
      </w:pPr>
    </w:p>
    <w:sectPr w:rsidR="0000718E" w:rsidRPr="009D4AD5" w:rsidSect="00107336">
      <w:headerReference w:type="default" r:id="rId16"/>
      <w:pgSz w:w="11906" w:h="16838"/>
      <w:pgMar w:top="212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718E" w:rsidRDefault="0000718E" w:rsidP="00435BFB">
      <w:pPr>
        <w:spacing w:after="0" w:line="240" w:lineRule="auto"/>
      </w:pPr>
      <w:r>
        <w:separator/>
      </w:r>
    </w:p>
  </w:endnote>
  <w:endnote w:type="continuationSeparator" w:id="0">
    <w:p w:rsidR="0000718E" w:rsidRDefault="0000718E" w:rsidP="00435B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agoNoRegular">
    <w:panose1 w:val="02000506040000020004"/>
    <w:charset w:val="00"/>
    <w:family w:val="auto"/>
    <w:pitch w:val="variable"/>
    <w:sig w:usb0="A00000AF" w:usb1="4000004A" w:usb2="00000000" w:usb3="00000000" w:csb0="00000111" w:csb1="00000000"/>
  </w:font>
  <w:font w:name="FagoNoBold">
    <w:panose1 w:val="02000506040000020004"/>
    <w:charset w:val="00"/>
    <w:family w:val="auto"/>
    <w:pitch w:val="variable"/>
    <w:sig w:usb0="A00000AF" w:usb1="4000004A" w:usb2="00000000" w:usb3="00000000" w:csb0="0000011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718E" w:rsidRDefault="0000718E" w:rsidP="00435BFB">
      <w:pPr>
        <w:spacing w:after="0" w:line="240" w:lineRule="auto"/>
      </w:pPr>
      <w:r>
        <w:separator/>
      </w:r>
    </w:p>
  </w:footnote>
  <w:footnote w:type="continuationSeparator" w:id="0">
    <w:p w:rsidR="0000718E" w:rsidRDefault="0000718E" w:rsidP="00435B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18B0" w:rsidRDefault="00895336">
    <w:pPr>
      <w:pStyle w:val="Kopfzeile"/>
    </w:pPr>
    <w:r>
      <w:rPr>
        <w:noProof/>
        <w:lang w:val="en-US"/>
      </w:rPr>
      <w:drawing>
        <wp:anchor distT="0" distB="0" distL="114300" distR="114300" simplePos="0" relativeHeight="251657728" behindDoc="1" locked="0" layoutInCell="1" allowOverlap="1">
          <wp:simplePos x="0" y="0"/>
          <wp:positionH relativeFrom="page">
            <wp:posOffset>5076825</wp:posOffset>
          </wp:positionH>
          <wp:positionV relativeFrom="page">
            <wp:posOffset>720090</wp:posOffset>
          </wp:positionV>
          <wp:extent cx="2015490" cy="626110"/>
          <wp:effectExtent l="0" t="0" r="0" b="0"/>
          <wp:wrapTight wrapText="bothSides">
            <wp:wrapPolygon edited="0">
              <wp:start x="0" y="0"/>
              <wp:lineTo x="0" y="21030"/>
              <wp:lineTo x="21437" y="21030"/>
              <wp:lineTo x="21437" y="0"/>
              <wp:lineTo x="0" y="0"/>
            </wp:wrapPolygon>
          </wp:wrapTight>
          <wp:docPr id="1" name="Grafik 5" descr="C:\Users\lehrl\AppData\Local\Temp\notesFCBCEE\~44788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C:\Users\lehrl\AppData\Local\Temp\notesFCBCEE\~4478844.jpg"/>
                  <pic:cNvPicPr>
                    <a:picLocks noChangeAspect="1" noChangeArrowheads="1"/>
                  </pic:cNvPicPr>
                </pic:nvPicPr>
                <pic:blipFill>
                  <a:blip r:embed="rId1">
                    <a:extLst>
                      <a:ext uri="{28A0092B-C50C-407E-A947-70E740481C1C}">
                        <a14:useLocalDpi xmlns:a14="http://schemas.microsoft.com/office/drawing/2010/main" val="0"/>
                      </a:ext>
                    </a:extLst>
                  </a:blip>
                  <a:srcRect t="22910" b="18175"/>
                  <a:stretch>
                    <a:fillRect/>
                  </a:stretch>
                </pic:blipFill>
                <pic:spPr bwMode="auto">
                  <a:xfrm>
                    <a:off x="0" y="0"/>
                    <a:ext cx="2015490" cy="62611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B6F320F"/>
    <w:multiLevelType w:val="hybridMultilevel"/>
    <w:tmpl w:val="27DA4E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00212DC"/>
    <w:multiLevelType w:val="hybridMultilevel"/>
    <w:tmpl w:val="84260F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DF1209C"/>
    <w:multiLevelType w:val="hybridMultilevel"/>
    <w:tmpl w:val="4EE4CE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8167115"/>
    <w:multiLevelType w:val="hybridMultilevel"/>
    <w:tmpl w:val="CE38F3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186689F"/>
    <w:multiLevelType w:val="multilevel"/>
    <w:tmpl w:val="E836FB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 w:numId="2">
    <w:abstractNumId w:val="2"/>
  </w:num>
  <w:num w:numId="3">
    <w:abstractNumId w:val="1"/>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5336"/>
    <w:rsid w:val="0000718E"/>
    <w:rsid w:val="00033E79"/>
    <w:rsid w:val="00107336"/>
    <w:rsid w:val="00423C43"/>
    <w:rsid w:val="00435BFB"/>
    <w:rsid w:val="005418B0"/>
    <w:rsid w:val="00552141"/>
    <w:rsid w:val="00557297"/>
    <w:rsid w:val="005D28F1"/>
    <w:rsid w:val="005F2D39"/>
    <w:rsid w:val="006659FD"/>
    <w:rsid w:val="00752D2D"/>
    <w:rsid w:val="00895336"/>
    <w:rsid w:val="0095623B"/>
    <w:rsid w:val="00961437"/>
    <w:rsid w:val="009D4AD5"/>
    <w:rsid w:val="009F3BE6"/>
    <w:rsid w:val="00A22179"/>
    <w:rsid w:val="00A61ACA"/>
    <w:rsid w:val="00A81241"/>
    <w:rsid w:val="00C625AF"/>
    <w:rsid w:val="00E6188F"/>
    <w:rsid w:val="00E759D5"/>
    <w:rsid w:val="00F265B0"/>
    <w:rsid w:val="00F71E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0C9A739B"/>
  <w15:chartTrackingRefBased/>
  <w15:docId w15:val="{68C6CD27-67E3-4D07-A33B-E5B0D5C84D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200" w:line="276" w:lineRule="auto"/>
    </w:pPr>
    <w:rPr>
      <w:sz w:val="22"/>
      <w:szCs w:val="22"/>
      <w:lang w:val="de-CH"/>
    </w:rPr>
  </w:style>
  <w:style w:type="paragraph" w:styleId="berschrift1">
    <w:name w:val="heading 1"/>
    <w:basedOn w:val="Standard"/>
    <w:next w:val="Standard"/>
    <w:link w:val="berschrift1Zchn"/>
    <w:uiPriority w:val="9"/>
    <w:qFormat/>
    <w:rsid w:val="0000718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00718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unhideWhenUsed/>
    <w:qFormat/>
    <w:rsid w:val="00C625A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35BF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35BFB"/>
  </w:style>
  <w:style w:type="paragraph" w:styleId="Fuzeile">
    <w:name w:val="footer"/>
    <w:basedOn w:val="Standard"/>
    <w:link w:val="FuzeileZchn"/>
    <w:uiPriority w:val="99"/>
    <w:unhideWhenUsed/>
    <w:rsid w:val="00435BF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35BFB"/>
  </w:style>
  <w:style w:type="paragraph" w:styleId="Sprechblasentext">
    <w:name w:val="Balloon Text"/>
    <w:basedOn w:val="Standard"/>
    <w:link w:val="SprechblasentextZchn"/>
    <w:uiPriority w:val="99"/>
    <w:semiHidden/>
    <w:unhideWhenUsed/>
    <w:rsid w:val="00435BFB"/>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435BFB"/>
    <w:rPr>
      <w:rFonts w:ascii="Tahoma" w:hAnsi="Tahoma" w:cs="Tahoma"/>
      <w:sz w:val="16"/>
      <w:szCs w:val="16"/>
    </w:rPr>
  </w:style>
  <w:style w:type="character" w:customStyle="1" w:styleId="berschrift2Zchn">
    <w:name w:val="Überschrift 2 Zchn"/>
    <w:basedOn w:val="Absatz-Standardschriftart"/>
    <w:link w:val="berschrift2"/>
    <w:uiPriority w:val="9"/>
    <w:rsid w:val="0000718E"/>
    <w:rPr>
      <w:rFonts w:asciiTheme="majorHAnsi" w:eastAsiaTheme="majorEastAsia" w:hAnsiTheme="majorHAnsi" w:cstheme="majorBidi"/>
      <w:color w:val="2E74B5" w:themeColor="accent1" w:themeShade="BF"/>
      <w:sz w:val="26"/>
      <w:szCs w:val="26"/>
      <w:lang w:val="de-CH"/>
    </w:rPr>
  </w:style>
  <w:style w:type="character" w:customStyle="1" w:styleId="berschrift1Zchn">
    <w:name w:val="Überschrift 1 Zchn"/>
    <w:basedOn w:val="Absatz-Standardschriftart"/>
    <w:link w:val="berschrift1"/>
    <w:uiPriority w:val="9"/>
    <w:rsid w:val="0000718E"/>
    <w:rPr>
      <w:rFonts w:asciiTheme="majorHAnsi" w:eastAsiaTheme="majorEastAsia" w:hAnsiTheme="majorHAnsi" w:cstheme="majorBidi"/>
      <w:color w:val="2E74B5" w:themeColor="accent1" w:themeShade="BF"/>
      <w:sz w:val="32"/>
      <w:szCs w:val="32"/>
      <w:lang w:val="de-CH"/>
    </w:rPr>
  </w:style>
  <w:style w:type="paragraph" w:styleId="Listenabsatz">
    <w:name w:val="List Paragraph"/>
    <w:basedOn w:val="Standard"/>
    <w:uiPriority w:val="34"/>
    <w:qFormat/>
    <w:rsid w:val="0000718E"/>
    <w:pPr>
      <w:ind w:left="720"/>
      <w:contextualSpacing/>
    </w:pPr>
  </w:style>
  <w:style w:type="character" w:styleId="Hyperlink">
    <w:name w:val="Hyperlink"/>
    <w:basedOn w:val="Absatz-Standardschriftart"/>
    <w:uiPriority w:val="99"/>
    <w:unhideWhenUsed/>
    <w:rsid w:val="0000718E"/>
    <w:rPr>
      <w:color w:val="0563C1" w:themeColor="hyperlink"/>
      <w:u w:val="single"/>
    </w:rPr>
  </w:style>
  <w:style w:type="paragraph" w:styleId="StandardWeb">
    <w:name w:val="Normal (Web)"/>
    <w:basedOn w:val="Standard"/>
    <w:uiPriority w:val="99"/>
    <w:semiHidden/>
    <w:unhideWhenUsed/>
    <w:rsid w:val="00961437"/>
    <w:pPr>
      <w:spacing w:before="100" w:beforeAutospacing="1" w:after="100" w:afterAutospacing="1" w:line="240" w:lineRule="auto"/>
    </w:pPr>
    <w:rPr>
      <w:rFonts w:ascii="Times New Roman" w:eastAsia="Times New Roman" w:hAnsi="Times New Roman"/>
      <w:sz w:val="24"/>
      <w:szCs w:val="24"/>
      <w:lang w:val="en-US"/>
    </w:rPr>
  </w:style>
  <w:style w:type="paragraph" w:styleId="KeinLeerraum">
    <w:name w:val="No Spacing"/>
    <w:uiPriority w:val="1"/>
    <w:qFormat/>
    <w:rsid w:val="00961437"/>
    <w:rPr>
      <w:sz w:val="22"/>
      <w:szCs w:val="22"/>
      <w:lang w:val="de-CH"/>
    </w:rPr>
  </w:style>
  <w:style w:type="paragraph" w:customStyle="1" w:styleId="01TitelHeaderweiss20PTNUMinformation">
    <w:name w:val="01_Titel_Header_weiss_20PT (NUMinformation)"/>
    <w:basedOn w:val="Standard"/>
    <w:uiPriority w:val="99"/>
    <w:rsid w:val="00F265B0"/>
    <w:pPr>
      <w:autoSpaceDE w:val="0"/>
      <w:autoSpaceDN w:val="0"/>
      <w:adjustRightInd w:val="0"/>
      <w:spacing w:after="0" w:line="400" w:lineRule="atLeast"/>
      <w:textAlignment w:val="center"/>
    </w:pPr>
    <w:rPr>
      <w:rFonts w:ascii="FagoNoRegular" w:hAnsi="FagoNoRegular" w:cs="FagoNoRegular"/>
      <w:color w:val="FFFFFF"/>
      <w:sz w:val="40"/>
      <w:szCs w:val="40"/>
      <w:lang w:val="en-US"/>
    </w:rPr>
  </w:style>
  <w:style w:type="paragraph" w:customStyle="1" w:styleId="05LauftextBoldgrau8PTNUMinformation">
    <w:name w:val="05_Lauftext_Bold_grau_8PT (NUMinformation)"/>
    <w:basedOn w:val="Standard"/>
    <w:uiPriority w:val="99"/>
    <w:rsid w:val="00F265B0"/>
    <w:pPr>
      <w:autoSpaceDE w:val="0"/>
      <w:autoSpaceDN w:val="0"/>
      <w:adjustRightInd w:val="0"/>
      <w:spacing w:after="0" w:line="200" w:lineRule="atLeast"/>
      <w:jc w:val="both"/>
      <w:textAlignment w:val="center"/>
    </w:pPr>
    <w:rPr>
      <w:rFonts w:ascii="FagoNoBold" w:hAnsi="FagoNoBold" w:cs="FagoNoBold"/>
      <w:color w:val="555756"/>
      <w:sz w:val="16"/>
      <w:szCs w:val="16"/>
      <w:lang w:val="en-US"/>
    </w:rPr>
  </w:style>
  <w:style w:type="paragraph" w:customStyle="1" w:styleId="04LauftextReggrau8PTNUMinformation">
    <w:name w:val="04_Lauftext_Reg_grau_8PT (NUMinformation)"/>
    <w:basedOn w:val="Standard"/>
    <w:uiPriority w:val="99"/>
    <w:rsid w:val="00F265B0"/>
    <w:pPr>
      <w:autoSpaceDE w:val="0"/>
      <w:autoSpaceDN w:val="0"/>
      <w:adjustRightInd w:val="0"/>
      <w:spacing w:after="0" w:line="200" w:lineRule="atLeast"/>
      <w:jc w:val="both"/>
      <w:textAlignment w:val="center"/>
    </w:pPr>
    <w:rPr>
      <w:rFonts w:ascii="FagoNoRegular" w:hAnsi="FagoNoRegular" w:cs="FagoNoRegular"/>
      <w:color w:val="555756"/>
      <w:sz w:val="16"/>
      <w:szCs w:val="16"/>
      <w:lang w:val="en-US"/>
    </w:rPr>
  </w:style>
  <w:style w:type="character" w:customStyle="1" w:styleId="berschrift3Zchn">
    <w:name w:val="Überschrift 3 Zchn"/>
    <w:basedOn w:val="Absatz-Standardschriftart"/>
    <w:link w:val="berschrift3"/>
    <w:uiPriority w:val="9"/>
    <w:rsid w:val="00C625AF"/>
    <w:rPr>
      <w:rFonts w:asciiTheme="majorHAnsi" w:eastAsiaTheme="majorEastAsia" w:hAnsiTheme="majorHAnsi" w:cstheme="majorBidi"/>
      <w:color w:val="1F4D78" w:themeColor="accent1" w:themeShade="7F"/>
      <w:sz w:val="24"/>
      <w:szCs w:val="24"/>
      <w:lang w:val="de-CH"/>
    </w:rPr>
  </w:style>
  <w:style w:type="paragraph" w:customStyle="1" w:styleId="06FussnoteItalgrau8PTNUMinformation">
    <w:name w:val="06_Fussnote_Ital_grau_8PT (NUMinformation)"/>
    <w:basedOn w:val="Standard"/>
    <w:uiPriority w:val="99"/>
    <w:rsid w:val="00C625AF"/>
    <w:pPr>
      <w:autoSpaceDE w:val="0"/>
      <w:autoSpaceDN w:val="0"/>
      <w:adjustRightInd w:val="0"/>
      <w:spacing w:after="0" w:line="200" w:lineRule="atLeast"/>
      <w:textAlignment w:val="center"/>
    </w:pPr>
    <w:rPr>
      <w:rFonts w:ascii="FagoNoRegular" w:hAnsi="FagoNoRegular" w:cs="FagoNoRegular"/>
      <w:i/>
      <w:iCs/>
      <w:color w:val="555756"/>
      <w:sz w:val="16"/>
      <w:szCs w:val="1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4833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num.com"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sales.ch@num.com"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https://www.num.com" TargetMode="Externa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mailto:sales.us@num.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1151</Words>
  <Characters>7055</Characters>
  <Application>Microsoft Office Word</Application>
  <DocSecurity>0</DocSecurity>
  <Lines>100</Lines>
  <Paragraphs>30</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8176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Jacqueline Boeni</dc:creator>
  <cp:keywords/>
  <cp:lastModifiedBy>Jacqueline Boeni</cp:lastModifiedBy>
  <cp:revision>5</cp:revision>
  <cp:lastPrinted>2018-09-13T13:48:00Z</cp:lastPrinted>
  <dcterms:created xsi:type="dcterms:W3CDTF">2024-08-06T06:24:00Z</dcterms:created>
  <dcterms:modified xsi:type="dcterms:W3CDTF">2024-08-06T09:52:00Z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2e3a8782-5a3c-49ac-9342-f326baee332b</vt:lpwstr>
  </property>
</Properties>
</file>