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508E4E2" w14:textId="58014327" w:rsidR="006A45ED" w:rsidRPr="00756948" w:rsidRDefault="007F398E" w:rsidP="00BA5B11">
      <w:pPr>
        <w:pStyle w:val="berschrift1"/>
        <w:rPr>
          <w:lang w:val="en-US"/>
        </w:rPr>
      </w:pPr>
      <w:r w:rsidRPr="00756948">
        <w:rPr>
          <w:lang w:val="en-US"/>
        </w:rPr>
        <w:t xml:space="preserve">NUM </w:t>
      </w:r>
      <w:r w:rsidR="00286C5B" w:rsidRPr="00756948">
        <w:rPr>
          <w:lang w:val="en-US"/>
        </w:rPr>
        <w:t>partners</w:t>
      </w:r>
      <w:r w:rsidRPr="00756948">
        <w:rPr>
          <w:lang w:val="en-US"/>
        </w:rPr>
        <w:t xml:space="preserve"> with Taiwanese specialist for hydrostatic grinding machines GRINTIMATE</w:t>
      </w:r>
    </w:p>
    <w:p w14:paraId="414177C9" w14:textId="77777777" w:rsidR="007F398E" w:rsidRPr="00756948" w:rsidRDefault="007F398E" w:rsidP="00BA5B11">
      <w:pPr>
        <w:rPr>
          <w:lang w:val="en-US"/>
        </w:rPr>
      </w:pPr>
    </w:p>
    <w:p w14:paraId="35DB1DB2" w14:textId="77777777" w:rsidR="00BA5B11" w:rsidRDefault="00BA5B11" w:rsidP="00BA5B11">
      <w:r>
        <w:t>For the first time, NUM solutions were successfully integrated into a wafer grinding machine from the Taiwanese specialty machine manufacturer GRINTIMATE.</w:t>
      </w:r>
    </w:p>
    <w:p w14:paraId="346E1582" w14:textId="77777777" w:rsidR="007F398E" w:rsidRPr="00756948" w:rsidRDefault="007F398E" w:rsidP="00BA5B11">
      <w:pPr>
        <w:rPr>
          <w:lang w:val="en-US"/>
        </w:rPr>
      </w:pPr>
    </w:p>
    <w:p w14:paraId="2A62404A" w14:textId="77777777" w:rsidR="00BA5B11" w:rsidRDefault="00BA5B11" w:rsidP="00BA5B11">
      <w:r>
        <w:t>GRINTIMATE is a specialist in the Asian market for hydrostatic grinding machines. Like NUM the company founded in 2015 is based in Taichung. The company has gained a name primarily for its hydrostatic cylindrical grinding machines, rotary surface grinding machines and wafer grinders.</w:t>
      </w:r>
    </w:p>
    <w:p w14:paraId="16491A65" w14:textId="77777777" w:rsidR="00BA5B11" w:rsidRDefault="00BA5B11" w:rsidP="00BA5B11"/>
    <w:p w14:paraId="0D86616C" w14:textId="77777777" w:rsidR="00BA5B11" w:rsidRDefault="00BA5B11" w:rsidP="00BA5B11">
      <w:r>
        <w:t>How it came to cooperation</w:t>
      </w:r>
      <w:bookmarkStart w:id="0" w:name="_GoBack"/>
      <w:bookmarkEnd w:id="0"/>
    </w:p>
    <w:p w14:paraId="77541FB5" w14:textId="77777777" w:rsidR="00BA5B11" w:rsidRDefault="00BA5B11" w:rsidP="00BA5B11">
      <w:r>
        <w:t xml:space="preserve">Adrian </w:t>
      </w:r>
      <w:proofErr w:type="spellStart"/>
      <w:r>
        <w:t>Kiener</w:t>
      </w:r>
      <w:proofErr w:type="spellEnd"/>
      <w:r>
        <w:t>, NUM CSO for Asia, got to know GRINTIMATE back in 2018 at the CIMT (China International Tool Show). Since then, loose contact has been maintained. They met about every six months and exchanged information about the latest developments. And it was this that led to the actual collaboration, as NUM had significant advantages to offer in terms of automation and grinding technology. Especially for their wafer grinding machine.</w:t>
      </w:r>
    </w:p>
    <w:p w14:paraId="71515AC9" w14:textId="77777777" w:rsidR="00BA5B11" w:rsidRDefault="00BA5B11" w:rsidP="00BA5B11"/>
    <w:p w14:paraId="5914D0EC" w14:textId="77777777" w:rsidR="00BA5B11" w:rsidRDefault="00BA5B11" w:rsidP="00BA5B11">
      <w:r>
        <w:t>Why NUM?</w:t>
      </w:r>
    </w:p>
    <w:p w14:paraId="0E9FC9F9" w14:textId="77777777" w:rsidR="00BA5B11" w:rsidRDefault="00BA5B11" w:rsidP="00BA5B11">
      <w:r>
        <w:t>NUM’s NTC Manager in Taiwan, Johnny Wu, knows that GRINTIMATE had already tried other integration solutions:</w:t>
      </w:r>
    </w:p>
    <w:p w14:paraId="23141FF0" w14:textId="77777777" w:rsidR="00BA5B11" w:rsidRDefault="00BA5B11" w:rsidP="00BA5B11"/>
    <w:p w14:paraId="561A02CB" w14:textId="77777777" w:rsidR="00BA5B11" w:rsidRDefault="00BA5B11" w:rsidP="00BA5B11">
      <w:r>
        <w:t xml:space="preserve">“NUM is not the first controller GRINTIMATE used for a wafer grinding machine.” Tricia Tsai VGM of GRINTIMATE adds: “We also use other Taiwan PC based brand controls. GRINTIMATE GTR-wafer grinder already meet the request of wafer thinning process (see box) for </w:t>
      </w:r>
      <w:proofErr w:type="spellStart"/>
      <w:r>
        <w:t>SiC</w:t>
      </w:r>
      <w:proofErr w:type="spellEnd"/>
      <w:r>
        <w:t xml:space="preserve">, Si, </w:t>
      </w:r>
      <w:proofErr w:type="spellStart"/>
      <w:r>
        <w:t>GaN</w:t>
      </w:r>
      <w:proofErr w:type="spellEnd"/>
      <w:r>
        <w:t xml:space="preserve"> etc. However, another challenge in semiconductor fab acceptance is the integration of SECS/GEM and loader/unloader system for the GTR, which the NUM system will help to fulfill.“</w:t>
      </w:r>
    </w:p>
    <w:p w14:paraId="3EE9FFF6" w14:textId="77777777" w:rsidR="00BA5B11" w:rsidRDefault="00BA5B11" w:rsidP="00BA5B11"/>
    <w:p w14:paraId="320D4E85" w14:textId="77777777" w:rsidR="00BA5B11" w:rsidRDefault="00BA5B11" w:rsidP="00BA5B11">
      <w:r>
        <w:t>Automation of wafer grinding machine</w:t>
      </w:r>
    </w:p>
    <w:p w14:paraId="438A091A" w14:textId="77777777" w:rsidR="00BA5B11" w:rsidRDefault="00BA5B11" w:rsidP="00BA5B11">
      <w:r>
        <w:t>Ultimately, the challenge was to automate a GTR-1215 grinder. Johnny Wu explains what the real challenges were:</w:t>
      </w:r>
    </w:p>
    <w:p w14:paraId="218BFA8C" w14:textId="77777777" w:rsidR="00BA5B11" w:rsidRDefault="00BA5B11" w:rsidP="00BA5B11"/>
    <w:p w14:paraId="12178702" w14:textId="77777777" w:rsidR="00BA5B11" w:rsidRDefault="00BA5B11" w:rsidP="00BA5B11">
      <w:r>
        <w:t>“First, there might be two or more robots that transfer wafers in and out (it’s so called EFEM/Equipment Front End Module) to the GTR-1215. A special protocol for the communication of the selection of front-end robots, the logistics method between EFEM and the host machine, the communication between SECS/GEM and the host system, and the integration of BC (Block Control) was needed.</w:t>
      </w:r>
    </w:p>
    <w:p w14:paraId="2BA30968" w14:textId="77777777" w:rsidR="00BA5B11" w:rsidRDefault="00BA5B11" w:rsidP="00BA5B11"/>
    <w:p w14:paraId="28AC9EAB" w14:textId="77777777" w:rsidR="00BA5B11" w:rsidRDefault="00BA5B11" w:rsidP="00BA5B11">
      <w:r>
        <w:lastRenderedPageBreak/>
        <w:t xml:space="preserve">Therefore, the controller should be able to receive the signal from the robot and start the rest of the process. After the GTR-1215 finishes grinding, our controller also needs </w:t>
      </w:r>
      <w:proofErr w:type="gramStart"/>
      <w:r>
        <w:t>to send</w:t>
      </w:r>
      <w:proofErr w:type="gramEnd"/>
      <w:r>
        <w:t xml:space="preserve"> a signal to the robot to ask it to transfer the wafer. Developed by the SEMI (Semiconductor Equipment and Materials International) organization, SECS/GEM is the standard defining a semiconductor’s equipment interface protocol for equipment-to-host data communications. Integrating the SECS/GEM protocol was easy because our controller is open and flexible.</w:t>
      </w:r>
    </w:p>
    <w:p w14:paraId="014FCF55" w14:textId="77777777" w:rsidR="00BA5B11" w:rsidRDefault="00BA5B11" w:rsidP="00BA5B11"/>
    <w:p w14:paraId="6DD18EBF" w14:textId="77777777" w:rsidR="00BA5B11" w:rsidRDefault="00BA5B11" w:rsidP="00BA5B11">
      <w:r>
        <w:t>Second, the precision of the grind process requires extensive spindle current monitoring. The NUM controller can directly collect current information from MDLUX drives and then the HMI software collect all this information in one database. We also offer special functions for AC grinding, which include not only monitoring but also adaptive control of the feed to stabilize the current. This achieves better surface quality and shortens grinding time.”</w:t>
      </w:r>
    </w:p>
    <w:p w14:paraId="1B5E2F4C" w14:textId="77777777" w:rsidR="00BA5B11" w:rsidRDefault="00BA5B11" w:rsidP="00BA5B11"/>
    <w:p w14:paraId="07494A02" w14:textId="77777777" w:rsidR="00BA5B11" w:rsidRDefault="00BA5B11" w:rsidP="00BA5B11">
      <w:r>
        <w:t>Experience from this cooperation</w:t>
      </w:r>
    </w:p>
    <w:p w14:paraId="21A8E893" w14:textId="77777777" w:rsidR="00BA5B11" w:rsidRDefault="00BA5B11" w:rsidP="00BA5B11">
      <w:r>
        <w:t xml:space="preserve">The project highlights NUM’s </w:t>
      </w:r>
      <w:proofErr w:type="spellStart"/>
      <w:r>
        <w:t>ablility</w:t>
      </w:r>
      <w:proofErr w:type="spellEnd"/>
      <w:r>
        <w:t xml:space="preserve"> to support GRINTIMATE in the integration of a complete production line for wafer grinding. Current monitoring and pressure monitoring were </w:t>
      </w:r>
      <w:proofErr w:type="spellStart"/>
      <w:r>
        <w:t>integratedand</w:t>
      </w:r>
      <w:proofErr w:type="spellEnd"/>
      <w:r>
        <w:t xml:space="preserve"> NUM created a special HMI for GRINTIMATE to ensure optimum machine operation. NUM also provided PLC NC machining macros, motor tuning and commissioning for this project, so a total solution for GRINTIMATE. This means that GRINTIMATE could concentrate fully on its main competencies in machine and grinding technology.</w:t>
      </w:r>
    </w:p>
    <w:p w14:paraId="3C4645BF" w14:textId="589BB468" w:rsidR="00BA5B11" w:rsidRDefault="00BA5B11" w:rsidP="00BA5B11">
      <w:pPr>
        <w:rPr>
          <w:lang w:val="en-US"/>
        </w:rPr>
      </w:pPr>
      <w:r w:rsidRPr="00BA5B11">
        <w:rPr>
          <w:lang w:val="en-US"/>
        </w:rPr>
        <w:t>According to Johnny Wu, NUM’s NTC Manager in Taiwan, NUM is a renowned name in the grinding industry. NUM’s open and flexible system makes it easy to access information and provides interpolation at Nanometer level. Furthermore, the NTC Taiwan offered GRINTIMATE a complete solution, which also included adaptive feed control. All these features prove our statement: “NUM CNC solutions provide machine builders with a competitive advantage.”</w:t>
      </w:r>
    </w:p>
    <w:p w14:paraId="6864E7D9" w14:textId="021F6985" w:rsidR="00BA5B11" w:rsidRDefault="00BA5B11" w:rsidP="00BA5B11">
      <w:pPr>
        <w:rPr>
          <w:lang w:val="en-US"/>
        </w:rPr>
      </w:pPr>
    </w:p>
    <w:p w14:paraId="0A1FC632" w14:textId="77777777" w:rsidR="00BA5B11" w:rsidRPr="00BA5B11" w:rsidRDefault="00BA5B11" w:rsidP="00BA5B11">
      <w:pPr>
        <w:rPr>
          <w:lang w:val="en-US"/>
        </w:rPr>
      </w:pPr>
    </w:p>
    <w:p w14:paraId="227B5042" w14:textId="77777777" w:rsidR="00BA5B11" w:rsidRPr="00BA5B11" w:rsidRDefault="00BA5B11" w:rsidP="00BA5B11">
      <w:pPr>
        <w:rPr>
          <w:rStyle w:val="IntensiveHervorhebung"/>
        </w:rPr>
      </w:pPr>
      <w:r w:rsidRPr="00BA5B11">
        <w:rPr>
          <w:rStyle w:val="IntensiveHervorhebung"/>
        </w:rPr>
        <w:t xml:space="preserve">Wafers </w:t>
      </w:r>
      <w:proofErr w:type="spellStart"/>
      <w:r w:rsidRPr="00BA5B11">
        <w:rPr>
          <w:rStyle w:val="IntensiveHervorhebung"/>
        </w:rPr>
        <w:t>are</w:t>
      </w:r>
      <w:proofErr w:type="spellEnd"/>
      <w:r w:rsidRPr="00BA5B11">
        <w:rPr>
          <w:rStyle w:val="IntensiveHervorhebung"/>
        </w:rPr>
        <w:t xml:space="preserve"> </w:t>
      </w:r>
      <w:proofErr w:type="spellStart"/>
      <w:r w:rsidRPr="00BA5B11">
        <w:rPr>
          <w:rStyle w:val="IntensiveHervorhebung"/>
        </w:rPr>
        <w:t>the</w:t>
      </w:r>
      <w:proofErr w:type="spellEnd"/>
      <w:r w:rsidRPr="00BA5B11">
        <w:rPr>
          <w:rStyle w:val="IntensiveHervorhebung"/>
        </w:rPr>
        <w:t xml:space="preserve"> </w:t>
      </w:r>
      <w:proofErr w:type="spellStart"/>
      <w:r w:rsidRPr="00BA5B11">
        <w:rPr>
          <w:rStyle w:val="IntensiveHervorhebung"/>
        </w:rPr>
        <w:t>basis</w:t>
      </w:r>
      <w:proofErr w:type="spellEnd"/>
      <w:r w:rsidRPr="00BA5B11">
        <w:rPr>
          <w:rStyle w:val="IntensiveHervorhebung"/>
        </w:rPr>
        <w:t xml:space="preserve"> </w:t>
      </w:r>
      <w:proofErr w:type="spellStart"/>
      <w:r w:rsidRPr="00BA5B11">
        <w:rPr>
          <w:rStyle w:val="IntensiveHervorhebung"/>
        </w:rPr>
        <w:t>for</w:t>
      </w:r>
      <w:proofErr w:type="spellEnd"/>
      <w:r w:rsidRPr="00BA5B11">
        <w:rPr>
          <w:rStyle w:val="IntensiveHervorhebung"/>
        </w:rPr>
        <w:t xml:space="preserve"> </w:t>
      </w:r>
      <w:proofErr w:type="spellStart"/>
      <w:r w:rsidRPr="00BA5B11">
        <w:rPr>
          <w:rStyle w:val="IntensiveHervorhebung"/>
        </w:rPr>
        <w:t>integrated</w:t>
      </w:r>
      <w:proofErr w:type="spellEnd"/>
      <w:r w:rsidRPr="00BA5B11">
        <w:rPr>
          <w:rStyle w:val="IntensiveHervorhebung"/>
        </w:rPr>
        <w:t xml:space="preserve"> </w:t>
      </w:r>
      <w:proofErr w:type="spellStart"/>
      <w:r w:rsidRPr="00BA5B11">
        <w:rPr>
          <w:rStyle w:val="IntensiveHervorhebung"/>
        </w:rPr>
        <w:t>circuits</w:t>
      </w:r>
      <w:proofErr w:type="spellEnd"/>
      <w:r w:rsidRPr="00BA5B11">
        <w:rPr>
          <w:rStyle w:val="IntensiveHervorhebung"/>
        </w:rPr>
        <w:t xml:space="preserve"> (</w:t>
      </w:r>
      <w:proofErr w:type="spellStart"/>
      <w:r w:rsidRPr="00BA5B11">
        <w:rPr>
          <w:rStyle w:val="IntensiveHervorhebung"/>
        </w:rPr>
        <w:t>chips</w:t>
      </w:r>
      <w:proofErr w:type="spellEnd"/>
      <w:r w:rsidRPr="00BA5B11">
        <w:rPr>
          <w:rStyle w:val="IntensiveHervorhebung"/>
        </w:rPr>
        <w:t xml:space="preserve">). </w:t>
      </w:r>
      <w:proofErr w:type="spellStart"/>
      <w:r w:rsidRPr="00BA5B11">
        <w:rPr>
          <w:rStyle w:val="IntensiveHervorhebung"/>
        </w:rPr>
        <w:t>During</w:t>
      </w:r>
      <w:proofErr w:type="spellEnd"/>
      <w:r w:rsidRPr="00BA5B11">
        <w:rPr>
          <w:rStyle w:val="IntensiveHervorhebung"/>
        </w:rPr>
        <w:t xml:space="preserve"> </w:t>
      </w:r>
      <w:proofErr w:type="spellStart"/>
      <w:r w:rsidRPr="00BA5B11">
        <w:rPr>
          <w:rStyle w:val="IntensiveHervorhebung"/>
        </w:rPr>
        <w:t>production</w:t>
      </w:r>
      <w:proofErr w:type="spellEnd"/>
      <w:r w:rsidRPr="00BA5B11">
        <w:rPr>
          <w:rStyle w:val="IntensiveHervorhebung"/>
        </w:rPr>
        <w:t xml:space="preserve">, </w:t>
      </w:r>
      <w:proofErr w:type="spellStart"/>
      <w:r w:rsidRPr="00BA5B11">
        <w:rPr>
          <w:rStyle w:val="IntensiveHervorhebung"/>
        </w:rPr>
        <w:t>only</w:t>
      </w:r>
      <w:proofErr w:type="spellEnd"/>
      <w:r w:rsidRPr="00BA5B11">
        <w:rPr>
          <w:rStyle w:val="IntensiveHervorhebung"/>
        </w:rPr>
        <w:t xml:space="preserve"> </w:t>
      </w:r>
      <w:proofErr w:type="spellStart"/>
      <w:r w:rsidRPr="00BA5B11">
        <w:rPr>
          <w:rStyle w:val="IntensiveHervorhebung"/>
        </w:rPr>
        <w:t>wafers</w:t>
      </w:r>
      <w:proofErr w:type="spellEnd"/>
      <w:r w:rsidRPr="00BA5B11">
        <w:rPr>
          <w:rStyle w:val="IntensiveHervorhebung"/>
        </w:rPr>
        <w:t xml:space="preserve"> </w:t>
      </w:r>
      <w:proofErr w:type="spellStart"/>
      <w:r w:rsidRPr="00BA5B11">
        <w:rPr>
          <w:rStyle w:val="IntensiveHervorhebung"/>
        </w:rPr>
        <w:t>with</w:t>
      </w:r>
      <w:proofErr w:type="spellEnd"/>
      <w:r w:rsidRPr="00BA5B11">
        <w:rPr>
          <w:rStyle w:val="IntensiveHervorhebung"/>
        </w:rPr>
        <w:t xml:space="preserve"> a </w:t>
      </w:r>
      <w:proofErr w:type="spellStart"/>
      <w:r w:rsidRPr="00BA5B11">
        <w:rPr>
          <w:rStyle w:val="IntensiveHervorhebung"/>
        </w:rPr>
        <w:t>certain</w:t>
      </w:r>
      <w:proofErr w:type="spellEnd"/>
      <w:r w:rsidRPr="00BA5B11">
        <w:rPr>
          <w:rStyle w:val="IntensiveHervorhebung"/>
        </w:rPr>
        <w:t xml:space="preserve"> </w:t>
      </w:r>
      <w:proofErr w:type="spellStart"/>
      <w:r w:rsidRPr="00BA5B11">
        <w:rPr>
          <w:rStyle w:val="IntensiveHervorhebung"/>
        </w:rPr>
        <w:t>thickness</w:t>
      </w:r>
      <w:proofErr w:type="spellEnd"/>
      <w:r w:rsidRPr="00BA5B11">
        <w:rPr>
          <w:rStyle w:val="IntensiveHervorhebung"/>
        </w:rPr>
        <w:t xml:space="preserve"> </w:t>
      </w:r>
      <w:proofErr w:type="spellStart"/>
      <w:r w:rsidRPr="00BA5B11">
        <w:rPr>
          <w:rStyle w:val="IntensiveHervorhebung"/>
        </w:rPr>
        <w:t>can</w:t>
      </w:r>
      <w:proofErr w:type="spellEnd"/>
      <w:r w:rsidRPr="00BA5B11">
        <w:rPr>
          <w:rStyle w:val="IntensiveHervorhebung"/>
        </w:rPr>
        <w:t xml:space="preserve"> </w:t>
      </w:r>
      <w:proofErr w:type="spellStart"/>
      <w:r w:rsidRPr="00BA5B11">
        <w:rPr>
          <w:rStyle w:val="IntensiveHervorhebung"/>
        </w:rPr>
        <w:t>be</w:t>
      </w:r>
      <w:proofErr w:type="spellEnd"/>
      <w:r w:rsidRPr="00BA5B11">
        <w:rPr>
          <w:rStyle w:val="IntensiveHervorhebung"/>
        </w:rPr>
        <w:t xml:space="preserve"> </w:t>
      </w:r>
      <w:proofErr w:type="spellStart"/>
      <w:r w:rsidRPr="00BA5B11">
        <w:rPr>
          <w:rStyle w:val="IntensiveHervorhebung"/>
        </w:rPr>
        <w:t>used</w:t>
      </w:r>
      <w:proofErr w:type="spellEnd"/>
      <w:r w:rsidRPr="00BA5B11">
        <w:rPr>
          <w:rStyle w:val="IntensiveHervorhebung"/>
        </w:rPr>
        <w:t xml:space="preserve">. </w:t>
      </w:r>
      <w:proofErr w:type="spellStart"/>
      <w:r w:rsidRPr="00BA5B11">
        <w:rPr>
          <w:rStyle w:val="IntensiveHervorhebung"/>
        </w:rPr>
        <w:t>Usually</w:t>
      </w:r>
      <w:proofErr w:type="spellEnd"/>
      <w:r w:rsidRPr="00BA5B11">
        <w:rPr>
          <w:rStyle w:val="IntensiveHervorhebung"/>
        </w:rPr>
        <w:t xml:space="preserve">, </w:t>
      </w:r>
      <w:proofErr w:type="spellStart"/>
      <w:r w:rsidRPr="00BA5B11">
        <w:rPr>
          <w:rStyle w:val="IntensiveHervorhebung"/>
        </w:rPr>
        <w:t>before</w:t>
      </w:r>
      <w:proofErr w:type="spellEnd"/>
      <w:r w:rsidRPr="00BA5B11">
        <w:rPr>
          <w:rStyle w:val="IntensiveHervorhebung"/>
        </w:rPr>
        <w:t xml:space="preserve"> </w:t>
      </w:r>
      <w:proofErr w:type="spellStart"/>
      <w:r w:rsidRPr="00BA5B11">
        <w:rPr>
          <w:rStyle w:val="IntensiveHervorhebung"/>
        </w:rPr>
        <w:t>the</w:t>
      </w:r>
      <w:proofErr w:type="spellEnd"/>
      <w:r w:rsidRPr="00BA5B11">
        <w:rPr>
          <w:rStyle w:val="IntensiveHervorhebung"/>
        </w:rPr>
        <w:t xml:space="preserve"> </w:t>
      </w:r>
      <w:proofErr w:type="spellStart"/>
      <w:r w:rsidRPr="00BA5B11">
        <w:rPr>
          <w:rStyle w:val="IntensiveHervorhebung"/>
        </w:rPr>
        <w:t>integrated</w:t>
      </w:r>
      <w:proofErr w:type="spellEnd"/>
      <w:r w:rsidRPr="00BA5B11">
        <w:rPr>
          <w:rStyle w:val="IntensiveHervorhebung"/>
        </w:rPr>
        <w:t xml:space="preserve"> </w:t>
      </w:r>
      <w:proofErr w:type="spellStart"/>
      <w:r w:rsidRPr="00BA5B11">
        <w:rPr>
          <w:rStyle w:val="IntensiveHervorhebung"/>
        </w:rPr>
        <w:t>circuit</w:t>
      </w:r>
      <w:proofErr w:type="spellEnd"/>
      <w:r w:rsidRPr="00BA5B11">
        <w:rPr>
          <w:rStyle w:val="IntensiveHervorhebung"/>
        </w:rPr>
        <w:t xml:space="preserve"> </w:t>
      </w:r>
      <w:proofErr w:type="spellStart"/>
      <w:r w:rsidRPr="00BA5B11">
        <w:rPr>
          <w:rStyle w:val="IntensiveHervorhebung"/>
        </w:rPr>
        <w:t>is</w:t>
      </w:r>
      <w:proofErr w:type="spellEnd"/>
      <w:r w:rsidRPr="00BA5B11">
        <w:rPr>
          <w:rStyle w:val="IntensiveHervorhebung"/>
        </w:rPr>
        <w:t xml:space="preserve"> “</w:t>
      </w:r>
      <w:proofErr w:type="spellStart"/>
      <w:r w:rsidRPr="00BA5B11">
        <w:rPr>
          <w:rStyle w:val="IntensiveHervorhebung"/>
        </w:rPr>
        <w:t>packaged</w:t>
      </w:r>
      <w:proofErr w:type="spellEnd"/>
      <w:r w:rsidRPr="00BA5B11">
        <w:rPr>
          <w:rStyle w:val="IntensiveHervorhebung"/>
        </w:rPr>
        <w:t xml:space="preserve">”, material </w:t>
      </w:r>
      <w:proofErr w:type="spellStart"/>
      <w:r w:rsidRPr="00BA5B11">
        <w:rPr>
          <w:rStyle w:val="IntensiveHervorhebung"/>
        </w:rPr>
        <w:t>is</w:t>
      </w:r>
      <w:proofErr w:type="spellEnd"/>
      <w:r w:rsidRPr="00BA5B11">
        <w:rPr>
          <w:rStyle w:val="IntensiveHervorhebung"/>
        </w:rPr>
        <w:t xml:space="preserve"> </w:t>
      </w:r>
      <w:proofErr w:type="spellStart"/>
      <w:r w:rsidRPr="00BA5B11">
        <w:rPr>
          <w:rStyle w:val="IntensiveHervorhebung"/>
        </w:rPr>
        <w:t>then</w:t>
      </w:r>
      <w:proofErr w:type="spellEnd"/>
      <w:r w:rsidRPr="00BA5B11">
        <w:rPr>
          <w:rStyle w:val="IntensiveHervorhebung"/>
        </w:rPr>
        <w:t xml:space="preserve"> </w:t>
      </w:r>
      <w:proofErr w:type="spellStart"/>
      <w:r w:rsidRPr="00BA5B11">
        <w:rPr>
          <w:rStyle w:val="IntensiveHervorhebung"/>
        </w:rPr>
        <w:t>removed</w:t>
      </w:r>
      <w:proofErr w:type="spellEnd"/>
      <w:r w:rsidRPr="00BA5B11">
        <w:rPr>
          <w:rStyle w:val="IntensiveHervorhebung"/>
        </w:rPr>
        <w:t xml:space="preserve"> </w:t>
      </w:r>
      <w:proofErr w:type="spellStart"/>
      <w:r w:rsidRPr="00BA5B11">
        <w:rPr>
          <w:rStyle w:val="IntensiveHervorhebung"/>
        </w:rPr>
        <w:t>from</w:t>
      </w:r>
      <w:proofErr w:type="spellEnd"/>
      <w:r w:rsidRPr="00BA5B11">
        <w:rPr>
          <w:rStyle w:val="IntensiveHervorhebung"/>
        </w:rPr>
        <w:t xml:space="preserve"> </w:t>
      </w:r>
      <w:proofErr w:type="spellStart"/>
      <w:r w:rsidRPr="00BA5B11">
        <w:rPr>
          <w:rStyle w:val="IntensiveHervorhebung"/>
        </w:rPr>
        <w:t>the</w:t>
      </w:r>
      <w:proofErr w:type="spellEnd"/>
      <w:r w:rsidRPr="00BA5B11">
        <w:rPr>
          <w:rStyle w:val="IntensiveHervorhebung"/>
        </w:rPr>
        <w:t xml:space="preserve"> back </w:t>
      </w:r>
      <w:proofErr w:type="spellStart"/>
      <w:r w:rsidRPr="00BA5B11">
        <w:rPr>
          <w:rStyle w:val="IntensiveHervorhebung"/>
        </w:rPr>
        <w:t>of</w:t>
      </w:r>
      <w:proofErr w:type="spellEnd"/>
      <w:r w:rsidRPr="00BA5B11">
        <w:rPr>
          <w:rStyle w:val="IntensiveHervorhebung"/>
        </w:rPr>
        <w:t xml:space="preserve"> </w:t>
      </w:r>
      <w:proofErr w:type="spellStart"/>
      <w:r w:rsidRPr="00BA5B11">
        <w:rPr>
          <w:rStyle w:val="IntensiveHervorhebung"/>
        </w:rPr>
        <w:t>the</w:t>
      </w:r>
      <w:proofErr w:type="spellEnd"/>
      <w:r w:rsidRPr="00BA5B11">
        <w:rPr>
          <w:rStyle w:val="IntensiveHervorhebung"/>
        </w:rPr>
        <w:t xml:space="preserve"> </w:t>
      </w:r>
      <w:proofErr w:type="spellStart"/>
      <w:r w:rsidRPr="00BA5B11">
        <w:rPr>
          <w:rStyle w:val="IntensiveHervorhebung"/>
        </w:rPr>
        <w:t>wafer</w:t>
      </w:r>
      <w:proofErr w:type="spellEnd"/>
      <w:r w:rsidRPr="00BA5B11">
        <w:rPr>
          <w:rStyle w:val="IntensiveHervorhebung"/>
        </w:rPr>
        <w:t xml:space="preserve">. This </w:t>
      </w:r>
      <w:proofErr w:type="spellStart"/>
      <w:r w:rsidRPr="00BA5B11">
        <w:rPr>
          <w:rStyle w:val="IntensiveHervorhebung"/>
        </w:rPr>
        <w:t>process</w:t>
      </w:r>
      <w:proofErr w:type="spellEnd"/>
      <w:r w:rsidRPr="00BA5B11">
        <w:rPr>
          <w:rStyle w:val="IntensiveHervorhebung"/>
        </w:rPr>
        <w:t xml:space="preserve"> </w:t>
      </w:r>
      <w:proofErr w:type="spellStart"/>
      <w:r w:rsidRPr="00BA5B11">
        <w:rPr>
          <w:rStyle w:val="IntensiveHervorhebung"/>
        </w:rPr>
        <w:t>is</w:t>
      </w:r>
      <w:proofErr w:type="spellEnd"/>
      <w:r w:rsidRPr="00BA5B11">
        <w:rPr>
          <w:rStyle w:val="IntensiveHervorhebung"/>
        </w:rPr>
        <w:t xml:space="preserve"> </w:t>
      </w:r>
      <w:proofErr w:type="spellStart"/>
      <w:r w:rsidRPr="00BA5B11">
        <w:rPr>
          <w:rStyle w:val="IntensiveHervorhebung"/>
        </w:rPr>
        <w:t>called</w:t>
      </w:r>
      <w:proofErr w:type="spellEnd"/>
      <w:r w:rsidRPr="00BA5B11">
        <w:rPr>
          <w:rStyle w:val="IntensiveHervorhebung"/>
        </w:rPr>
        <w:t xml:space="preserve"> </w:t>
      </w:r>
      <w:proofErr w:type="spellStart"/>
      <w:r w:rsidRPr="00BA5B11">
        <w:rPr>
          <w:rStyle w:val="IntensiveHervorhebung"/>
        </w:rPr>
        <w:t>the</w:t>
      </w:r>
      <w:proofErr w:type="spellEnd"/>
      <w:r w:rsidRPr="00BA5B11">
        <w:rPr>
          <w:rStyle w:val="IntensiveHervorhebung"/>
        </w:rPr>
        <w:t xml:space="preserve"> </w:t>
      </w:r>
      <w:proofErr w:type="spellStart"/>
      <w:r w:rsidRPr="00BA5B11">
        <w:rPr>
          <w:rStyle w:val="IntensiveHervorhebung"/>
        </w:rPr>
        <w:t>wafer</w:t>
      </w:r>
      <w:proofErr w:type="spellEnd"/>
      <w:r w:rsidRPr="00BA5B11">
        <w:rPr>
          <w:rStyle w:val="IntensiveHervorhebung"/>
        </w:rPr>
        <w:t xml:space="preserve"> </w:t>
      </w:r>
      <w:proofErr w:type="spellStart"/>
      <w:r w:rsidRPr="00BA5B11">
        <w:rPr>
          <w:rStyle w:val="IntensiveHervorhebung"/>
        </w:rPr>
        <w:t>backside</w:t>
      </w:r>
      <w:proofErr w:type="spellEnd"/>
      <w:r w:rsidRPr="00BA5B11">
        <w:rPr>
          <w:rStyle w:val="IntensiveHervorhebung"/>
        </w:rPr>
        <w:t xml:space="preserve"> </w:t>
      </w:r>
      <w:proofErr w:type="spellStart"/>
      <w:r w:rsidRPr="00BA5B11">
        <w:rPr>
          <w:rStyle w:val="IntensiveHervorhebung"/>
        </w:rPr>
        <w:t>thinning</w:t>
      </w:r>
      <w:proofErr w:type="spellEnd"/>
      <w:r w:rsidRPr="00BA5B11">
        <w:rPr>
          <w:rStyle w:val="IntensiveHervorhebung"/>
        </w:rPr>
        <w:t xml:space="preserve"> </w:t>
      </w:r>
      <w:proofErr w:type="spellStart"/>
      <w:r w:rsidRPr="00BA5B11">
        <w:rPr>
          <w:rStyle w:val="IntensiveHervorhebung"/>
        </w:rPr>
        <w:t>process</w:t>
      </w:r>
      <w:proofErr w:type="spellEnd"/>
      <w:r w:rsidRPr="00BA5B11">
        <w:rPr>
          <w:rStyle w:val="IntensiveHervorhebung"/>
        </w:rPr>
        <w:t>.</w:t>
      </w:r>
    </w:p>
    <w:p w14:paraId="50A6DFD4" w14:textId="2CE59E42" w:rsidR="00BA5B11" w:rsidRDefault="00BA5B11" w:rsidP="00BA5B11">
      <w:pPr>
        <w:rPr>
          <w:lang w:val="en-US"/>
        </w:rPr>
      </w:pPr>
    </w:p>
    <w:p w14:paraId="1A377950" w14:textId="7762BC92" w:rsidR="00BA5B11" w:rsidRDefault="00BA5B11" w:rsidP="00BA5B11">
      <w:pPr>
        <w:rPr>
          <w:lang w:val="de-CH"/>
        </w:rPr>
      </w:pPr>
      <w:r>
        <w:rPr>
          <w:noProof/>
          <w:lang w:val="en-US"/>
        </w:rPr>
        <w:lastRenderedPageBreak/>
        <w:drawing>
          <wp:inline distT="0" distB="0" distL="0" distR="0" wp14:anchorId="7AD07611" wp14:editId="4EE30C7B">
            <wp:extent cx="1866900" cy="2486025"/>
            <wp:effectExtent l="0" t="0" r="0" b="9525"/>
            <wp:docPr id="4" name="Grafik 4" descr="1_Groupphoto_edited_lo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1_Groupphoto_edited_low"/>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1866900" cy="2486025"/>
                    </a:xfrm>
                    <a:prstGeom prst="rect">
                      <a:avLst/>
                    </a:prstGeom>
                    <a:noFill/>
                    <a:ln>
                      <a:noFill/>
                    </a:ln>
                  </pic:spPr>
                </pic:pic>
              </a:graphicData>
            </a:graphic>
          </wp:inline>
        </w:drawing>
      </w:r>
    </w:p>
    <w:p w14:paraId="5D35C4A2" w14:textId="77777777" w:rsidR="00BA5B11" w:rsidRDefault="00BA5B11" w:rsidP="00BA5B11">
      <w:pPr>
        <w:rPr>
          <w:lang w:val="de-CH"/>
        </w:rPr>
      </w:pPr>
    </w:p>
    <w:p w14:paraId="0AE501C7" w14:textId="77777777" w:rsidR="00BA5B11" w:rsidRDefault="00BA5B11" w:rsidP="00BA5B11">
      <w:r>
        <w:t xml:space="preserve">From left to right: </w:t>
      </w:r>
      <w:proofErr w:type="spellStart"/>
      <w:r>
        <w:t>Arger</w:t>
      </w:r>
      <w:proofErr w:type="spellEnd"/>
      <w:r>
        <w:t xml:space="preserve"> Lee (NUM Taiwan Application Engineer), Johnny Wu (NUM Taiwan GM), Tricia Tsai (GRINTIMATE VGM) und Gary </w:t>
      </w:r>
      <w:proofErr w:type="spellStart"/>
      <w:r>
        <w:t>Guo</w:t>
      </w:r>
      <w:proofErr w:type="spellEnd"/>
      <w:r>
        <w:t xml:space="preserve"> (GRINTIMATE Assistant Project Manager)</w:t>
      </w:r>
    </w:p>
    <w:p w14:paraId="184610DA" w14:textId="77777777" w:rsidR="00BA5B11" w:rsidRPr="00BA5B11" w:rsidRDefault="00BA5B11" w:rsidP="00BA5B11">
      <w:pPr>
        <w:rPr>
          <w:lang w:val="en-US"/>
        </w:rPr>
      </w:pPr>
    </w:p>
    <w:p w14:paraId="53014B71" w14:textId="0AB6E286" w:rsidR="00BA5B11" w:rsidRDefault="00BA5B11" w:rsidP="00BA5B11">
      <w:pPr>
        <w:rPr>
          <w:lang w:val="de-CH"/>
        </w:rPr>
      </w:pPr>
      <w:r>
        <w:rPr>
          <w:noProof/>
          <w:lang w:val="en-US"/>
        </w:rPr>
        <w:drawing>
          <wp:inline distT="0" distB="0" distL="0" distR="0" wp14:anchorId="2A4E7339" wp14:editId="23DDB008">
            <wp:extent cx="2724150" cy="2047875"/>
            <wp:effectExtent l="0" t="0" r="0" b="9525"/>
            <wp:docPr id="3" name="Grafik 3" descr="2_screen_edited_lo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_screen_edited_low"/>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2724150" cy="2047875"/>
                    </a:xfrm>
                    <a:prstGeom prst="rect">
                      <a:avLst/>
                    </a:prstGeom>
                    <a:noFill/>
                    <a:ln>
                      <a:noFill/>
                    </a:ln>
                  </pic:spPr>
                </pic:pic>
              </a:graphicData>
            </a:graphic>
          </wp:inline>
        </w:drawing>
      </w:r>
    </w:p>
    <w:p w14:paraId="54829BD5" w14:textId="77777777" w:rsidR="00BA5B11" w:rsidRDefault="00BA5B11" w:rsidP="00BA5B11">
      <w:r>
        <w:t>Machine GTR-1215 and HMI</w:t>
      </w:r>
    </w:p>
    <w:p w14:paraId="792A03EF" w14:textId="77777777" w:rsidR="00BA5B11" w:rsidRDefault="00BA5B11" w:rsidP="00BA5B11">
      <w:pPr>
        <w:rPr>
          <w:lang w:val="de-CH"/>
        </w:rPr>
      </w:pPr>
      <w:r>
        <w:rPr>
          <w:lang w:val="de-CH"/>
        </w:rPr>
        <w:br w:type="page"/>
      </w:r>
    </w:p>
    <w:p w14:paraId="5BE5D2E5" w14:textId="2F42F49B" w:rsidR="00BA5B11" w:rsidRDefault="00BA5B11" w:rsidP="00BA5B11">
      <w:pPr>
        <w:rPr>
          <w:lang w:val="de-CH"/>
        </w:rPr>
      </w:pPr>
      <w:r>
        <w:rPr>
          <w:noProof/>
          <w:lang w:val="en-US"/>
        </w:rPr>
        <w:lastRenderedPageBreak/>
        <w:drawing>
          <wp:inline distT="0" distB="0" distL="0" distR="0" wp14:anchorId="1EA70DBA" wp14:editId="72FEAD15">
            <wp:extent cx="1857375" cy="2476500"/>
            <wp:effectExtent l="0" t="0" r="9525" b="0"/>
            <wp:docPr id="2" name="Grafik 2" descr="3_machine_edi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3_machine_edited"/>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1857375" cy="2476500"/>
                    </a:xfrm>
                    <a:prstGeom prst="rect">
                      <a:avLst/>
                    </a:prstGeom>
                    <a:noFill/>
                    <a:ln>
                      <a:noFill/>
                    </a:ln>
                  </pic:spPr>
                </pic:pic>
              </a:graphicData>
            </a:graphic>
          </wp:inline>
        </w:drawing>
      </w:r>
    </w:p>
    <w:p w14:paraId="2769D4D5" w14:textId="77777777" w:rsidR="00BA5B11" w:rsidRDefault="00BA5B11" w:rsidP="00BA5B11">
      <w:r>
        <w:t>Machine GTR-1215</w:t>
      </w:r>
    </w:p>
    <w:p w14:paraId="00502014" w14:textId="77777777" w:rsidR="00BA5B11" w:rsidRDefault="00BA5B11" w:rsidP="00BA5B11">
      <w:pPr>
        <w:rPr>
          <w:lang w:val="de-CH"/>
        </w:rPr>
      </w:pPr>
    </w:p>
    <w:p w14:paraId="1CEB4C73" w14:textId="1F89A857" w:rsidR="00BA5B11" w:rsidRDefault="00BA5B11" w:rsidP="00BA5B11">
      <w:pPr>
        <w:rPr>
          <w:lang w:val="de-CH"/>
        </w:rPr>
      </w:pPr>
      <w:r>
        <w:rPr>
          <w:noProof/>
          <w:lang w:val="en-US"/>
        </w:rPr>
        <w:drawing>
          <wp:inline distT="0" distB="0" distL="0" distR="0" wp14:anchorId="09C65F02" wp14:editId="5059C93A">
            <wp:extent cx="2809875" cy="1876425"/>
            <wp:effectExtent l="0" t="0" r="9525" b="9525"/>
            <wp:docPr id="1" name="Grafik 1" descr="4_wafers_edi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4_wafers_edited"/>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809875" cy="1876425"/>
                    </a:xfrm>
                    <a:prstGeom prst="rect">
                      <a:avLst/>
                    </a:prstGeom>
                    <a:noFill/>
                    <a:ln>
                      <a:noFill/>
                    </a:ln>
                  </pic:spPr>
                </pic:pic>
              </a:graphicData>
            </a:graphic>
          </wp:inline>
        </w:drawing>
      </w:r>
    </w:p>
    <w:p w14:paraId="5AE26CAD" w14:textId="77777777" w:rsidR="00BA5B11" w:rsidRDefault="00BA5B11" w:rsidP="00BA5B11">
      <w:r>
        <w:t xml:space="preserve">Sapphires, </w:t>
      </w:r>
      <w:proofErr w:type="spellStart"/>
      <w:r>
        <w:t>SiC</w:t>
      </w:r>
      <w:proofErr w:type="spellEnd"/>
      <w:r>
        <w:t>, Si, Oxide/bumping wafers</w:t>
      </w:r>
    </w:p>
    <w:p w14:paraId="095619A1" w14:textId="77777777" w:rsidR="00BA5B11" w:rsidRPr="00BA5B11" w:rsidRDefault="00BA5B11" w:rsidP="00BA5B11">
      <w:pPr>
        <w:rPr>
          <w:lang w:val="en-US"/>
        </w:rPr>
      </w:pPr>
    </w:p>
    <w:p w14:paraId="4721DF73" w14:textId="77777777" w:rsidR="00BA5B11" w:rsidRPr="00BA5B11" w:rsidRDefault="00BA5B11" w:rsidP="00BA5B11">
      <w:pPr>
        <w:rPr>
          <w:lang w:val="en-US"/>
        </w:rPr>
      </w:pPr>
    </w:p>
    <w:p w14:paraId="7FF5266F" w14:textId="77777777" w:rsidR="00BA5B11" w:rsidRPr="00756948" w:rsidRDefault="00BA5B11" w:rsidP="00BA5B11">
      <w:pPr>
        <w:rPr>
          <w:lang w:val="en-US"/>
        </w:rPr>
      </w:pPr>
    </w:p>
    <w:sectPr w:rsidR="00BA5B11" w:rsidRPr="00756948">
      <w:pgSz w:w="11906" w:h="16838"/>
      <w:pgMar w:top="1417" w:right="1417" w:bottom="1134"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200247B" w:usb2="00000009" w:usb3="00000000" w:csb0="000001FF" w:csb1="00000000"/>
  </w:font>
  <w:font w:name="PMingLiU">
    <w:altName w:val="新細明體"/>
    <w:panose1 w:val="02020300000000000000"/>
    <w:charset w:val="88"/>
    <w:family w:val="roman"/>
    <w:pitch w:val="variable"/>
    <w:sig w:usb0="A00002FF" w:usb1="28CFFCFA" w:usb2="00000016" w:usb3="00000000" w:csb0="00100001"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FagoNoBold">
    <w:panose1 w:val="02000506040000020004"/>
    <w:charset w:val="00"/>
    <w:family w:val="auto"/>
    <w:pitch w:val="variable"/>
    <w:sig w:usb0="A00000AF" w:usb1="4000004A" w:usb2="00000000" w:usb3="00000000" w:csb0="00000111" w:csb1="00000000"/>
  </w:font>
  <w:font w:name="MinionPro-Regular">
    <w:panose1 w:val="00000000000000000000"/>
    <w:charset w:val="00"/>
    <w:family w:val="auto"/>
    <w:notTrueType/>
    <w:pitch w:val="default"/>
    <w:sig w:usb0="00000003" w:usb1="00000000" w:usb2="00000000" w:usb3="00000000" w:csb0="00000001" w:csb1="00000000"/>
  </w:font>
  <w:font w:name="FagoNoRegular">
    <w:panose1 w:val="02000506040000020004"/>
    <w:charset w:val="00"/>
    <w:family w:val="auto"/>
    <w:pitch w:val="variable"/>
    <w:sig w:usb0="A00000AF" w:usb1="4000004A" w:usb2="00000000" w:usb3="00000000" w:csb0="00000111"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proofState w:spelling="clean" w:grammar="clean"/>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E56CE"/>
    <w:rsid w:val="00011ABF"/>
    <w:rsid w:val="000556A6"/>
    <w:rsid w:val="000B7FAD"/>
    <w:rsid w:val="000C4474"/>
    <w:rsid w:val="000D34F6"/>
    <w:rsid w:val="00247676"/>
    <w:rsid w:val="00286C5B"/>
    <w:rsid w:val="002F0788"/>
    <w:rsid w:val="00336E25"/>
    <w:rsid w:val="00341581"/>
    <w:rsid w:val="003A455B"/>
    <w:rsid w:val="003D0B2C"/>
    <w:rsid w:val="00461BB0"/>
    <w:rsid w:val="004F16C8"/>
    <w:rsid w:val="00500A5B"/>
    <w:rsid w:val="00523234"/>
    <w:rsid w:val="00560758"/>
    <w:rsid w:val="0056095D"/>
    <w:rsid w:val="00563E24"/>
    <w:rsid w:val="00564B67"/>
    <w:rsid w:val="006318F4"/>
    <w:rsid w:val="00635B5C"/>
    <w:rsid w:val="006761EC"/>
    <w:rsid w:val="006A45ED"/>
    <w:rsid w:val="00756948"/>
    <w:rsid w:val="00772D0A"/>
    <w:rsid w:val="007A1415"/>
    <w:rsid w:val="007F398E"/>
    <w:rsid w:val="007F40EC"/>
    <w:rsid w:val="00840B3D"/>
    <w:rsid w:val="0089435D"/>
    <w:rsid w:val="008D3096"/>
    <w:rsid w:val="008D6F1B"/>
    <w:rsid w:val="00910EEF"/>
    <w:rsid w:val="00943840"/>
    <w:rsid w:val="009C366B"/>
    <w:rsid w:val="00A25CD2"/>
    <w:rsid w:val="00A46DA2"/>
    <w:rsid w:val="00A51E8F"/>
    <w:rsid w:val="00A546C8"/>
    <w:rsid w:val="00B029D7"/>
    <w:rsid w:val="00B8441B"/>
    <w:rsid w:val="00B859F3"/>
    <w:rsid w:val="00B9203E"/>
    <w:rsid w:val="00B9489A"/>
    <w:rsid w:val="00BA5B11"/>
    <w:rsid w:val="00BF03AC"/>
    <w:rsid w:val="00C020DB"/>
    <w:rsid w:val="00C64A9D"/>
    <w:rsid w:val="00C81116"/>
    <w:rsid w:val="00CA1B75"/>
    <w:rsid w:val="00D04447"/>
    <w:rsid w:val="00D5116F"/>
    <w:rsid w:val="00D73858"/>
    <w:rsid w:val="00DA4CC8"/>
    <w:rsid w:val="00DD16CB"/>
    <w:rsid w:val="00E07092"/>
    <w:rsid w:val="00E6335C"/>
    <w:rsid w:val="00E706D8"/>
    <w:rsid w:val="00EE56CE"/>
  </w:rsids>
  <m:mathPr>
    <m:mathFont m:val="Cambria Math"/>
    <m:brkBin m:val="before"/>
    <m:brkBinSub m:val="--"/>
    <m:smallFrac m:val="0"/>
    <m:dispDef/>
    <m:lMargin m:val="0"/>
    <m:rMargin m:val="0"/>
    <m:defJc m:val="centerGroup"/>
    <m:wrapIndent m:val="1440"/>
    <m:intLim m:val="subSup"/>
    <m:naryLim m:val="undOvr"/>
  </m:mathPr>
  <w:themeFontLang w:val="de-DE" w:eastAsia="zh-TW"/>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97AE1A"/>
  <w15:chartTrackingRefBased/>
  <w15:docId w15:val="{C164B838-0DA3-41E1-BA2B-1E22B898E8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style>
  <w:style w:type="paragraph" w:styleId="berschrift1">
    <w:name w:val="heading 1"/>
    <w:basedOn w:val="Standard"/>
    <w:next w:val="Standard"/>
    <w:link w:val="berschrift1Zchn"/>
    <w:uiPriority w:val="9"/>
    <w:qFormat/>
    <w:rsid w:val="00BA5B11"/>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einLeerraum">
    <w:name w:val="No Spacing"/>
    <w:uiPriority w:val="1"/>
    <w:qFormat/>
    <w:rsid w:val="00523234"/>
    <w:pPr>
      <w:spacing w:after="0" w:line="240" w:lineRule="auto"/>
    </w:pPr>
    <w:rPr>
      <w:sz w:val="24"/>
    </w:rPr>
  </w:style>
  <w:style w:type="paragraph" w:styleId="Sprechblasentext">
    <w:name w:val="Balloon Text"/>
    <w:basedOn w:val="Standard"/>
    <w:link w:val="SprechblasentextZchn"/>
    <w:uiPriority w:val="99"/>
    <w:semiHidden/>
    <w:unhideWhenUsed/>
    <w:rsid w:val="007F398E"/>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7F398E"/>
    <w:rPr>
      <w:rFonts w:ascii="Segoe UI" w:hAnsi="Segoe UI" w:cs="Segoe UI"/>
      <w:sz w:val="18"/>
      <w:szCs w:val="18"/>
    </w:rPr>
  </w:style>
  <w:style w:type="character" w:styleId="Kommentarzeichen">
    <w:name w:val="annotation reference"/>
    <w:basedOn w:val="Absatz-Standardschriftart"/>
    <w:uiPriority w:val="99"/>
    <w:semiHidden/>
    <w:unhideWhenUsed/>
    <w:rsid w:val="00563E24"/>
    <w:rPr>
      <w:sz w:val="16"/>
      <w:szCs w:val="16"/>
    </w:rPr>
  </w:style>
  <w:style w:type="paragraph" w:styleId="Kommentartext">
    <w:name w:val="annotation text"/>
    <w:basedOn w:val="Standard"/>
    <w:link w:val="KommentartextZchn"/>
    <w:uiPriority w:val="99"/>
    <w:semiHidden/>
    <w:unhideWhenUsed/>
    <w:rsid w:val="00563E24"/>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563E24"/>
    <w:rPr>
      <w:sz w:val="20"/>
      <w:szCs w:val="20"/>
    </w:rPr>
  </w:style>
  <w:style w:type="paragraph" w:styleId="Kommentarthema">
    <w:name w:val="annotation subject"/>
    <w:basedOn w:val="Kommentartext"/>
    <w:next w:val="Kommentartext"/>
    <w:link w:val="KommentarthemaZchn"/>
    <w:uiPriority w:val="99"/>
    <w:semiHidden/>
    <w:unhideWhenUsed/>
    <w:rsid w:val="00563E24"/>
    <w:rPr>
      <w:b/>
      <w:bCs/>
    </w:rPr>
  </w:style>
  <w:style w:type="character" w:customStyle="1" w:styleId="KommentarthemaZchn">
    <w:name w:val="Kommentarthema Zchn"/>
    <w:basedOn w:val="KommentartextZchn"/>
    <w:link w:val="Kommentarthema"/>
    <w:uiPriority w:val="99"/>
    <w:semiHidden/>
    <w:rsid w:val="00563E24"/>
    <w:rPr>
      <w:b/>
      <w:bCs/>
      <w:sz w:val="20"/>
      <w:szCs w:val="20"/>
    </w:rPr>
  </w:style>
  <w:style w:type="paragraph" w:customStyle="1" w:styleId="05LauftextBoldgrau8PTNUMinformation">
    <w:name w:val="05_Lauftext_Bold_grau_8PT (NUMinformation)"/>
    <w:basedOn w:val="Standard"/>
    <w:uiPriority w:val="99"/>
    <w:rsid w:val="00BA5B11"/>
    <w:pPr>
      <w:autoSpaceDE w:val="0"/>
      <w:autoSpaceDN w:val="0"/>
      <w:adjustRightInd w:val="0"/>
      <w:spacing w:after="0" w:line="200" w:lineRule="atLeast"/>
      <w:jc w:val="both"/>
      <w:textAlignment w:val="center"/>
    </w:pPr>
    <w:rPr>
      <w:rFonts w:ascii="FagoNoBold" w:hAnsi="FagoNoBold" w:cs="FagoNoBold"/>
      <w:color w:val="4C4E4D"/>
      <w:sz w:val="16"/>
      <w:szCs w:val="16"/>
      <w:lang w:val="en-US"/>
    </w:rPr>
  </w:style>
  <w:style w:type="paragraph" w:customStyle="1" w:styleId="KeinAbsatzformat">
    <w:name w:val="[Kein Absatzformat]"/>
    <w:rsid w:val="00BA5B11"/>
    <w:pPr>
      <w:autoSpaceDE w:val="0"/>
      <w:autoSpaceDN w:val="0"/>
      <w:adjustRightInd w:val="0"/>
      <w:spacing w:after="0" w:line="288" w:lineRule="auto"/>
      <w:textAlignment w:val="center"/>
    </w:pPr>
    <w:rPr>
      <w:rFonts w:ascii="MinionPro-Regular" w:hAnsi="MinionPro-Regular" w:cs="MinionPro-Regular"/>
      <w:color w:val="000000"/>
      <w:sz w:val="24"/>
      <w:szCs w:val="24"/>
    </w:rPr>
  </w:style>
  <w:style w:type="paragraph" w:customStyle="1" w:styleId="04LauftextReggrau8PTNUMinformation">
    <w:name w:val="04_Lauftext_Reg_grau_8PT (NUMinformation)"/>
    <w:basedOn w:val="KeinAbsatzformat"/>
    <w:uiPriority w:val="99"/>
    <w:rsid w:val="00BA5B11"/>
    <w:pPr>
      <w:spacing w:line="200" w:lineRule="atLeast"/>
      <w:jc w:val="both"/>
    </w:pPr>
    <w:rPr>
      <w:rFonts w:ascii="FagoNoRegular" w:hAnsi="FagoNoRegular" w:cs="FagoNoRegular"/>
      <w:color w:val="4C4E4D"/>
      <w:sz w:val="16"/>
      <w:szCs w:val="16"/>
      <w:lang w:val="en-US"/>
    </w:rPr>
  </w:style>
  <w:style w:type="paragraph" w:customStyle="1" w:styleId="08Boxtextitalregweiss9PTNUMinformation">
    <w:name w:val="08_Boxtext_ital reg_weiss_9PT (NUMinformation)"/>
    <w:basedOn w:val="KeinAbsatzformat"/>
    <w:uiPriority w:val="99"/>
    <w:rsid w:val="00BA5B11"/>
    <w:pPr>
      <w:spacing w:line="200" w:lineRule="atLeast"/>
      <w:jc w:val="center"/>
    </w:pPr>
    <w:rPr>
      <w:rFonts w:ascii="FagoNoRegular" w:hAnsi="FagoNoRegular" w:cs="FagoNoRegular"/>
      <w:i/>
      <w:iCs/>
      <w:color w:val="FFFFFF"/>
      <w:sz w:val="18"/>
      <w:szCs w:val="18"/>
      <w:lang w:val="en-US"/>
    </w:rPr>
  </w:style>
  <w:style w:type="character" w:customStyle="1" w:styleId="berschrift1Zchn">
    <w:name w:val="Überschrift 1 Zchn"/>
    <w:basedOn w:val="Absatz-Standardschriftart"/>
    <w:link w:val="berschrift1"/>
    <w:uiPriority w:val="9"/>
    <w:rsid w:val="00BA5B11"/>
    <w:rPr>
      <w:rFonts w:asciiTheme="majorHAnsi" w:eastAsiaTheme="majorEastAsia" w:hAnsiTheme="majorHAnsi" w:cstheme="majorBidi"/>
      <w:color w:val="2E74B5" w:themeColor="accent1" w:themeShade="BF"/>
      <w:sz w:val="32"/>
      <w:szCs w:val="32"/>
    </w:rPr>
  </w:style>
  <w:style w:type="character" w:styleId="IntensiveHervorhebung">
    <w:name w:val="Intense Emphasis"/>
    <w:basedOn w:val="Absatz-Standardschriftart"/>
    <w:uiPriority w:val="21"/>
    <w:qFormat/>
    <w:rsid w:val="00BA5B11"/>
    <w:rPr>
      <w:i/>
      <w:iCs/>
      <w:color w:val="5B9BD5" w:themeColor="accent1"/>
    </w:rPr>
  </w:style>
  <w:style w:type="paragraph" w:customStyle="1" w:styleId="06FussnoteItalgrau8PTNUMinformation">
    <w:name w:val="06_Fussnote_Ital_grau_8PT (NUMinformation)"/>
    <w:basedOn w:val="KeinAbsatzformat"/>
    <w:uiPriority w:val="99"/>
    <w:rsid w:val="00BA5B11"/>
    <w:pPr>
      <w:spacing w:line="200" w:lineRule="atLeast"/>
    </w:pPr>
    <w:rPr>
      <w:rFonts w:ascii="FagoNoRegular" w:hAnsi="FagoNoRegular" w:cs="FagoNoRegular"/>
      <w:i/>
      <w:iCs/>
      <w:color w:val="4C4E4D"/>
      <w:sz w:val="16"/>
      <w:szCs w:val="16"/>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57321634">
      <w:bodyDiv w:val="1"/>
      <w:marLeft w:val="0"/>
      <w:marRight w:val="0"/>
      <w:marTop w:val="0"/>
      <w:marBottom w:val="0"/>
      <w:divBdr>
        <w:top w:val="none" w:sz="0" w:space="0" w:color="auto"/>
        <w:left w:val="none" w:sz="0" w:space="0" w:color="auto"/>
        <w:bottom w:val="none" w:sz="0" w:space="0" w:color="auto"/>
        <w:right w:val="none" w:sz="0" w:space="0" w:color="auto"/>
      </w:divBdr>
    </w:div>
    <w:div w:id="11312426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4.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9"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4</Pages>
  <Words>694</Words>
  <Characters>3956</Characters>
  <Application>Microsoft Office Word</Application>
  <DocSecurity>0</DocSecurity>
  <Lines>32</Lines>
  <Paragraphs>9</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
  <LinksUpToDate>false</LinksUpToDate>
  <CharactersWithSpaces>4641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Jörg Staniek</dc:creator>
  <cp:keywords/>
  <dc:description/>
  <cp:lastModifiedBy>Jacqueline Boeni</cp:lastModifiedBy>
  <cp:revision>6</cp:revision>
  <dcterms:created xsi:type="dcterms:W3CDTF">2023-05-16T13:25:00Z</dcterms:created>
  <dcterms:modified xsi:type="dcterms:W3CDTF">2023-06-27T09:24:00Z</dcterms:modified>
</cp:coreProperties>
</file>