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A574DC0" w14:textId="77777777" w:rsidR="00361DB7" w:rsidRDefault="00361DB7" w:rsidP="00361DB7">
      <w:pPr>
        <w:pStyle w:val="berschrift1"/>
      </w:pPr>
      <w:r>
        <w:t>NUM s’associe au spécialiste taïwanais des rectifieuses hydrostatiques GRINTIMATE</w:t>
      </w:r>
    </w:p>
    <w:p w14:paraId="16E080E8" w14:textId="77777777" w:rsidR="000D3FC3" w:rsidRPr="00295F9A" w:rsidRDefault="000D3FC3" w:rsidP="00361DB7">
      <w:pPr>
        <w:rPr>
          <w:rFonts w:ascii="Arial" w:hAnsi="Arial" w:cs="Arial"/>
          <w:b/>
          <w:color w:val="000000" w:themeColor="text1"/>
          <w:szCs w:val="24"/>
          <w:lang w:val="fr-FR"/>
        </w:rPr>
      </w:pPr>
    </w:p>
    <w:p w14:paraId="5A7D5ED5" w14:textId="77777777" w:rsidR="00361DB7" w:rsidRDefault="00361DB7" w:rsidP="00361DB7">
      <w:r>
        <w:t>C’est une première, les solutions NUM ont été intégrées avec succès dans une machine de rectification de wafers du fabricant taïwanais de machines spécialisées GRINTIMATE.</w:t>
      </w:r>
    </w:p>
    <w:p w14:paraId="1BD69083" w14:textId="77777777" w:rsidR="00F44966" w:rsidRPr="00295F9A" w:rsidRDefault="00F44966" w:rsidP="00361DB7">
      <w:pPr>
        <w:rPr>
          <w:rFonts w:ascii="Arial" w:hAnsi="Arial" w:cs="Arial"/>
          <w:b/>
          <w:color w:val="000000" w:themeColor="text1"/>
          <w:szCs w:val="24"/>
          <w:lang w:val="fr-FR"/>
        </w:rPr>
      </w:pPr>
    </w:p>
    <w:p w14:paraId="7642B583" w14:textId="77777777" w:rsidR="00361DB7" w:rsidRDefault="00361DB7" w:rsidP="00361DB7">
      <w:r>
        <w:t>GRINTIMATE est un spécialiste du marché asiatique des rectifieuses hydrostatiques. Tout comme NUM, l’entreprise fondée en 2015 est basée à Taichung. Elle s’est fait connaître principalement pour ses rectifieuses cylindriques hydrostatiques, ses rectifieuses planes rotatives et ses rectifieuses de wafers.</w:t>
      </w:r>
    </w:p>
    <w:p w14:paraId="783A4ABD" w14:textId="77777777" w:rsidR="00361DB7" w:rsidRDefault="00361DB7" w:rsidP="00361DB7"/>
    <w:p w14:paraId="6F522114" w14:textId="77777777" w:rsidR="00361DB7" w:rsidRDefault="00361DB7" w:rsidP="00361DB7">
      <w:r>
        <w:t>Comment est née la coopération</w:t>
      </w:r>
    </w:p>
    <w:p w14:paraId="3CCBF62D" w14:textId="77777777" w:rsidR="00361DB7" w:rsidRDefault="00361DB7" w:rsidP="00361DB7">
      <w:r>
        <w:t xml:space="preserve">Adrian </w:t>
      </w:r>
      <w:proofErr w:type="spellStart"/>
      <w:r>
        <w:t>Kiener</w:t>
      </w:r>
      <w:proofErr w:type="spellEnd"/>
      <w:r>
        <w:t xml:space="preserve">, CSO de NUM pour l’Asie, a fait la connaissance de </w:t>
      </w:r>
      <w:proofErr w:type="spellStart"/>
      <w:r>
        <w:t>Grintimate</w:t>
      </w:r>
      <w:proofErr w:type="spellEnd"/>
      <w:r>
        <w:t xml:space="preserve"> en 2018 lors du CIMT (China International </w:t>
      </w:r>
      <w:proofErr w:type="spellStart"/>
      <w:r>
        <w:t>Tool</w:t>
      </w:r>
      <w:proofErr w:type="spellEnd"/>
      <w:r>
        <w:t xml:space="preserve"> Show à Shanghai). Depuis lors, des contacts réguliers ont été entretenus. Ils se sont rencontrés environ tous les six mois et ont échangé des informations sur les derniers développements. Et c’est ce qui a conduit à la collaboration proprement dite, car NUM avait des avantages significatifs à offrir en termes d’automatisation et de technologie de rectification. En particulier pour leur machine de rectification de wafers.</w:t>
      </w:r>
    </w:p>
    <w:p w14:paraId="77AFE433" w14:textId="77777777" w:rsidR="00361DB7" w:rsidRDefault="00361DB7" w:rsidP="00361DB7"/>
    <w:p w14:paraId="31D28026" w14:textId="77777777" w:rsidR="00361DB7" w:rsidRDefault="00361DB7" w:rsidP="00361DB7">
      <w:r>
        <w:t xml:space="preserve">Pourquoi </w:t>
      </w:r>
      <w:proofErr w:type="gramStart"/>
      <w:r>
        <w:t>NUM ?</w:t>
      </w:r>
      <w:proofErr w:type="gramEnd"/>
    </w:p>
    <w:p w14:paraId="738B02F3" w14:textId="77777777" w:rsidR="00361DB7" w:rsidRDefault="00361DB7" w:rsidP="00361DB7">
      <w:r>
        <w:t xml:space="preserve">Johnny Wu, responsable NTC de NUM à Taiwan, sait que </w:t>
      </w:r>
      <w:proofErr w:type="spellStart"/>
      <w:r>
        <w:t>Grintimate</w:t>
      </w:r>
      <w:proofErr w:type="spellEnd"/>
      <w:r>
        <w:t xml:space="preserve"> avait déjà essayé d’autres solutions </w:t>
      </w:r>
      <w:proofErr w:type="gramStart"/>
      <w:r>
        <w:t>d’intégration :</w:t>
      </w:r>
      <w:proofErr w:type="gramEnd"/>
    </w:p>
    <w:p w14:paraId="36FD199E" w14:textId="77777777" w:rsidR="00361DB7" w:rsidRDefault="00361DB7" w:rsidP="00361DB7"/>
    <w:p w14:paraId="26CC8742" w14:textId="77777777" w:rsidR="00361DB7" w:rsidRDefault="00361DB7" w:rsidP="00361DB7">
      <w:r>
        <w:t xml:space="preserve">« NUM n’est pas le premier contrôleur utilisé par </w:t>
      </w:r>
      <w:proofErr w:type="spellStart"/>
      <w:r>
        <w:t>Grintimate</w:t>
      </w:r>
      <w:proofErr w:type="spellEnd"/>
      <w:r>
        <w:t xml:space="preserve"> pour une rectifieuse de wafers. » </w:t>
      </w:r>
      <w:proofErr w:type="spellStart"/>
      <w:r>
        <w:t>Tsai</w:t>
      </w:r>
      <w:proofErr w:type="spellEnd"/>
      <w:r>
        <w:t xml:space="preserve"> </w:t>
      </w:r>
      <w:proofErr w:type="spellStart"/>
      <w:r>
        <w:t>Tricia</w:t>
      </w:r>
      <w:proofErr w:type="spellEnd"/>
      <w:r>
        <w:t xml:space="preserve"> VGM de </w:t>
      </w:r>
      <w:proofErr w:type="spellStart"/>
      <w:r>
        <w:t>Grintimate</w:t>
      </w:r>
      <w:proofErr w:type="spellEnd"/>
      <w:r>
        <w:t xml:space="preserve"> </w:t>
      </w:r>
      <w:proofErr w:type="gramStart"/>
      <w:r>
        <w:t>ajoute :</w:t>
      </w:r>
      <w:proofErr w:type="gramEnd"/>
      <w:r>
        <w:t xml:space="preserve"> « Nous utilisons également d’autres commandes de marque Taiwan PC. La rectifieuse de wafers GTR de </w:t>
      </w:r>
      <w:proofErr w:type="spellStart"/>
      <w:r>
        <w:t>Grintimate</w:t>
      </w:r>
      <w:proofErr w:type="spellEnd"/>
      <w:r>
        <w:t xml:space="preserve"> répond déjà aux exigences du processus d’amincissement des wafers (voir encadré) pour </w:t>
      </w:r>
      <w:proofErr w:type="spellStart"/>
      <w:r>
        <w:t>SiC</w:t>
      </w:r>
      <w:proofErr w:type="spellEnd"/>
      <w:r>
        <w:t xml:space="preserve">, Si, </w:t>
      </w:r>
      <w:proofErr w:type="spellStart"/>
      <w:r>
        <w:t>GaN</w:t>
      </w:r>
      <w:proofErr w:type="spellEnd"/>
      <w:r>
        <w:t>, etc. Cependant, l’intégration du SECS/GEM et du système de chargement/déchargement pour le GTR constitue un autre défi pour l’acceptation des usines de semi-conducteurs, que le système NUM contribuera à relever. »</w:t>
      </w:r>
    </w:p>
    <w:p w14:paraId="0F6DC60C" w14:textId="77777777" w:rsidR="00361DB7" w:rsidRDefault="00361DB7" w:rsidP="00361DB7">
      <w:r>
        <w:t>Automatisation de la rectifieuse de wafers</w:t>
      </w:r>
    </w:p>
    <w:p w14:paraId="01537063" w14:textId="77777777" w:rsidR="00361DB7" w:rsidRDefault="00361DB7" w:rsidP="00361DB7">
      <w:r>
        <w:t xml:space="preserve">En fin de compte, le défi consistait à automatiser une rectifieuse GTR-1215. Johnny Wu explique quels étaient les véritables défis à </w:t>
      </w:r>
      <w:proofErr w:type="gramStart"/>
      <w:r>
        <w:t>relever :</w:t>
      </w:r>
      <w:proofErr w:type="gramEnd"/>
    </w:p>
    <w:p w14:paraId="790B3804" w14:textId="77777777" w:rsidR="00361DB7" w:rsidRDefault="00361DB7" w:rsidP="00361DB7"/>
    <w:p w14:paraId="3E70D82E" w14:textId="77777777" w:rsidR="00361DB7" w:rsidRDefault="00361DB7" w:rsidP="00361DB7">
      <w:r>
        <w:t>« Premièrement, il peut y avoir deux robots ou plus qui transfèrent les wafers à l’intérieur et à l’extérieur (c’est ce qu’on appelle le module EFEM/Equipment Front End Module) de la GTR-1215. Un protocole spécial pour la communication de la sélection des robots frontaux, la méthode logistique entre l’EFEM et la machine hôte, la communication entre le SECS/GEM et le système hôte et l’intégration du BC (Block Control) était nécessaire.</w:t>
      </w:r>
    </w:p>
    <w:p w14:paraId="0A22434B" w14:textId="77777777" w:rsidR="00361DB7" w:rsidRDefault="00361DB7" w:rsidP="00361DB7"/>
    <w:p w14:paraId="5F7C3AE8" w14:textId="77777777" w:rsidR="00361DB7" w:rsidRDefault="00361DB7" w:rsidP="00361DB7">
      <w:r>
        <w:t>Le contrôleur doit donc être en mesure de recevoir le signal du robot et de lancer le reste du processus. Une fois que le GTR-1215 a terminé la rectification, notre contrôleur doit également envoyer un signal au robot pour lui demander de transférer le wafer. Développé par l’organisation SEMI (</w:t>
      </w:r>
      <w:proofErr w:type="spellStart"/>
      <w:r>
        <w:t>Semiconductor</w:t>
      </w:r>
      <w:proofErr w:type="spellEnd"/>
      <w:r>
        <w:t xml:space="preserve"> Equipment and </w:t>
      </w:r>
      <w:proofErr w:type="spellStart"/>
      <w:r>
        <w:t>Materials</w:t>
      </w:r>
      <w:proofErr w:type="spellEnd"/>
      <w:r>
        <w:t xml:space="preserve"> International), SECS/GEM est la norme définissant le protocole de communication entre les équipements dans le milieu des semi-conducteurs.</w:t>
      </w:r>
    </w:p>
    <w:p w14:paraId="3BECCBFF" w14:textId="77777777" w:rsidR="00361DB7" w:rsidRDefault="00361DB7" w:rsidP="00361DB7">
      <w:r>
        <w:t>L’intégration de ce protocole a été facile à mettre en œuvre car notre contrôleur est ouvert et flexible.</w:t>
      </w:r>
    </w:p>
    <w:p w14:paraId="065AB6D4" w14:textId="77777777" w:rsidR="00361DB7" w:rsidRDefault="00361DB7" w:rsidP="00361DB7"/>
    <w:p w14:paraId="6124978A" w14:textId="77777777" w:rsidR="00361DB7" w:rsidRDefault="00361DB7" w:rsidP="00361DB7">
      <w:r>
        <w:t>Deuxièmement, la précision du processus de rectification nécessite un contrôle approfondi du courant de la broche. Le contrôleur NUM peut collecter directement les informations de courant des entraînements MDLUX, ensuite le logiciel IHM rassemble toutes ces informations dans une seule base de données. Nous proposons également des fonctions spéciales pour la rectification, qui comprennent non seulement la surveillance mais aussi le contrôle adaptatif de l’avance pour stabiliser le courant. La mise en œuvre de cette fonction permet d’obtenir une meilleure qualité de surface et de réduire la durée de la rectification. »</w:t>
      </w:r>
    </w:p>
    <w:p w14:paraId="53D66FA2" w14:textId="77777777" w:rsidR="00361DB7" w:rsidRDefault="00361DB7" w:rsidP="00361DB7"/>
    <w:p w14:paraId="64858645" w14:textId="77777777" w:rsidR="00361DB7" w:rsidRDefault="00361DB7" w:rsidP="00361DB7">
      <w:r>
        <w:t>Résultats de cette coopération</w:t>
      </w:r>
    </w:p>
    <w:p w14:paraId="717CFEE6" w14:textId="77777777" w:rsidR="00361DB7" w:rsidRDefault="00361DB7" w:rsidP="00361DB7">
      <w:r>
        <w:t xml:space="preserve">Le projet met en évidence la capacité de NUM à assister </w:t>
      </w:r>
      <w:proofErr w:type="spellStart"/>
      <w:r>
        <w:t>Grintimate</w:t>
      </w:r>
      <w:proofErr w:type="spellEnd"/>
      <w:r>
        <w:t xml:space="preserve"> dans l’intégration d’une ligne de production complète pour la rectification des wafers. La surveillance du courant et la surveillance de la pression ont été intégrées, NUM a créé une IHM spéciale pour </w:t>
      </w:r>
      <w:proofErr w:type="spellStart"/>
      <w:r>
        <w:t>Grintimate</w:t>
      </w:r>
      <w:proofErr w:type="spellEnd"/>
      <w:r>
        <w:t xml:space="preserve"> afin d’assurer un fonctionnement optimal de la machine. NUM a également fourni des macros d’usinage CN Automate, la mise au point des moteurs et la mise en service de ce projet, ce qui a permis à </w:t>
      </w:r>
      <w:proofErr w:type="spellStart"/>
      <w:r>
        <w:t>Grintimate</w:t>
      </w:r>
      <w:proofErr w:type="spellEnd"/>
      <w:r>
        <w:t xml:space="preserve"> de bénéficier d’une solution complète. Cela signifie que </w:t>
      </w:r>
      <w:proofErr w:type="spellStart"/>
      <w:r>
        <w:t>Grintimate</w:t>
      </w:r>
      <w:proofErr w:type="spellEnd"/>
      <w:r>
        <w:t xml:space="preserve"> a pu se concentrer pleinement sur ses compétences principales en matière de technologie de rectification.</w:t>
      </w:r>
    </w:p>
    <w:p w14:paraId="35477C96" w14:textId="77777777" w:rsidR="00361DB7" w:rsidRDefault="00361DB7" w:rsidP="00361DB7">
      <w:pPr>
        <w:rPr>
          <w:lang w:val="fr-FR"/>
        </w:rPr>
      </w:pPr>
      <w:r w:rsidRPr="00361DB7">
        <w:rPr>
          <w:lang w:val="fr-FR"/>
        </w:rPr>
        <w:t xml:space="preserve">Selon Johnny Wu, responsable NTC de NUM à Taïwan, NUM est un nom réputé dans l’industrie de la rectification. Le système ouvert et flexible de NUM facilite l’accès aux informations et permet une interpolation au niveau du nanomètre. De plus, la NTC de Taïwan a offert à </w:t>
      </w:r>
      <w:proofErr w:type="spellStart"/>
      <w:r w:rsidRPr="00361DB7">
        <w:rPr>
          <w:lang w:val="fr-FR"/>
        </w:rPr>
        <w:t>Grintimate</w:t>
      </w:r>
      <w:proofErr w:type="spellEnd"/>
      <w:r w:rsidRPr="00361DB7">
        <w:rPr>
          <w:lang w:val="fr-FR"/>
        </w:rPr>
        <w:t xml:space="preserve"> une solution complète, qui comprenait également un contrôle adaptatif de l’avance. Toutes ces caractéristiques confirment notre affirmation : « Les solutions CNC NUM offrent aux c</w:t>
      </w:r>
      <w:bookmarkStart w:id="0" w:name="_GoBack"/>
      <w:bookmarkEnd w:id="0"/>
      <w:r w:rsidRPr="00361DB7">
        <w:rPr>
          <w:lang w:val="fr-FR"/>
        </w:rPr>
        <w:t xml:space="preserve">onstructeurs de machines un avantage concurrentiel. » </w:t>
      </w:r>
    </w:p>
    <w:p w14:paraId="51369B0A" w14:textId="77777777" w:rsidR="00361DB7" w:rsidRDefault="00361DB7" w:rsidP="00361DB7">
      <w:pPr>
        <w:rPr>
          <w:lang w:val="fr-FR"/>
        </w:rPr>
      </w:pPr>
    </w:p>
    <w:p w14:paraId="716EE2BC" w14:textId="77777777" w:rsidR="00361DB7" w:rsidRPr="00361DB7" w:rsidRDefault="00361DB7" w:rsidP="00361DB7">
      <w:pPr>
        <w:rPr>
          <w:rStyle w:val="IntensiveHervorhebung"/>
        </w:rPr>
      </w:pPr>
      <w:r w:rsidRPr="00361DB7">
        <w:rPr>
          <w:rStyle w:val="IntensiveHervorhebung"/>
        </w:rPr>
        <w:t xml:space="preserve">Les </w:t>
      </w:r>
      <w:proofErr w:type="spellStart"/>
      <w:r w:rsidRPr="00361DB7">
        <w:rPr>
          <w:rStyle w:val="IntensiveHervorhebung"/>
        </w:rPr>
        <w:t>wafers</w:t>
      </w:r>
      <w:proofErr w:type="spellEnd"/>
      <w:r w:rsidRPr="00361DB7">
        <w:rPr>
          <w:rStyle w:val="IntensiveHervorhebung"/>
        </w:rPr>
        <w:t xml:space="preserve"> </w:t>
      </w:r>
      <w:proofErr w:type="spellStart"/>
      <w:r w:rsidRPr="00361DB7">
        <w:rPr>
          <w:rStyle w:val="IntensiveHervorhebung"/>
        </w:rPr>
        <w:t>servent</w:t>
      </w:r>
      <w:proofErr w:type="spellEnd"/>
      <w:r w:rsidRPr="00361DB7">
        <w:rPr>
          <w:rStyle w:val="IntensiveHervorhebung"/>
        </w:rPr>
        <w:t xml:space="preserve"> </w:t>
      </w:r>
      <w:proofErr w:type="spellStart"/>
      <w:r w:rsidRPr="00361DB7">
        <w:rPr>
          <w:rStyle w:val="IntensiveHervorhebung"/>
        </w:rPr>
        <w:t>dans</w:t>
      </w:r>
      <w:proofErr w:type="spellEnd"/>
      <w:r w:rsidRPr="00361DB7">
        <w:rPr>
          <w:rStyle w:val="IntensiveHervorhebung"/>
        </w:rPr>
        <w:t xml:space="preserve"> la </w:t>
      </w:r>
      <w:proofErr w:type="spellStart"/>
      <w:r w:rsidRPr="00361DB7">
        <w:rPr>
          <w:rStyle w:val="IntensiveHervorhebung"/>
        </w:rPr>
        <w:t>fabrication</w:t>
      </w:r>
      <w:proofErr w:type="spellEnd"/>
      <w:r w:rsidRPr="00361DB7">
        <w:rPr>
          <w:rStyle w:val="IntensiveHervorhebung"/>
        </w:rPr>
        <w:t xml:space="preserve"> des </w:t>
      </w:r>
      <w:proofErr w:type="spellStart"/>
      <w:r w:rsidRPr="00361DB7">
        <w:rPr>
          <w:rStyle w:val="IntensiveHervorhebung"/>
        </w:rPr>
        <w:t>circuits</w:t>
      </w:r>
      <w:proofErr w:type="spellEnd"/>
      <w:r w:rsidRPr="00361DB7">
        <w:rPr>
          <w:rStyle w:val="IntensiveHervorhebung"/>
        </w:rPr>
        <w:t xml:space="preserve"> </w:t>
      </w:r>
      <w:proofErr w:type="spellStart"/>
      <w:r w:rsidRPr="00361DB7">
        <w:rPr>
          <w:rStyle w:val="IntensiveHervorhebung"/>
        </w:rPr>
        <w:t>intégrés</w:t>
      </w:r>
      <w:proofErr w:type="spellEnd"/>
      <w:r w:rsidRPr="00361DB7">
        <w:rPr>
          <w:rStyle w:val="IntensiveHervorhebung"/>
        </w:rPr>
        <w:t xml:space="preserve"> (</w:t>
      </w:r>
      <w:proofErr w:type="spellStart"/>
      <w:r w:rsidRPr="00361DB7">
        <w:rPr>
          <w:rStyle w:val="IntensiveHervorhebung"/>
        </w:rPr>
        <w:t>puces</w:t>
      </w:r>
      <w:proofErr w:type="spellEnd"/>
      <w:r w:rsidRPr="00361DB7">
        <w:rPr>
          <w:rStyle w:val="IntensiveHervorhebung"/>
        </w:rPr>
        <w:t xml:space="preserve">). </w:t>
      </w:r>
      <w:proofErr w:type="spellStart"/>
      <w:r w:rsidRPr="00361DB7">
        <w:rPr>
          <w:rStyle w:val="IntensiveHervorhebung"/>
        </w:rPr>
        <w:t>Lors</w:t>
      </w:r>
      <w:proofErr w:type="spellEnd"/>
      <w:r w:rsidRPr="00361DB7">
        <w:rPr>
          <w:rStyle w:val="IntensiveHervorhebung"/>
        </w:rPr>
        <w:t xml:space="preserve"> de la </w:t>
      </w:r>
      <w:proofErr w:type="spellStart"/>
      <w:r w:rsidRPr="00361DB7">
        <w:rPr>
          <w:rStyle w:val="IntensiveHervorhebung"/>
        </w:rPr>
        <w:t>production</w:t>
      </w:r>
      <w:proofErr w:type="spellEnd"/>
      <w:r w:rsidRPr="00361DB7">
        <w:rPr>
          <w:rStyle w:val="IntensiveHervorhebung"/>
        </w:rPr>
        <w:t xml:space="preserve">, </w:t>
      </w:r>
      <w:proofErr w:type="spellStart"/>
      <w:r w:rsidRPr="00361DB7">
        <w:rPr>
          <w:rStyle w:val="IntensiveHervorhebung"/>
        </w:rPr>
        <w:t>seules</w:t>
      </w:r>
      <w:proofErr w:type="spellEnd"/>
      <w:r w:rsidRPr="00361DB7">
        <w:rPr>
          <w:rStyle w:val="IntensiveHervorhebung"/>
        </w:rPr>
        <w:t xml:space="preserve"> les </w:t>
      </w:r>
      <w:proofErr w:type="spellStart"/>
      <w:r w:rsidRPr="00361DB7">
        <w:rPr>
          <w:rStyle w:val="IntensiveHervorhebung"/>
        </w:rPr>
        <w:t>wafers</w:t>
      </w:r>
      <w:proofErr w:type="spellEnd"/>
      <w:r w:rsidRPr="00361DB7">
        <w:rPr>
          <w:rStyle w:val="IntensiveHervorhebung"/>
        </w:rPr>
        <w:t xml:space="preserve"> </w:t>
      </w:r>
      <w:proofErr w:type="spellStart"/>
      <w:r w:rsidRPr="00361DB7">
        <w:rPr>
          <w:rStyle w:val="IntensiveHervorhebung"/>
        </w:rPr>
        <w:t>d’une</w:t>
      </w:r>
      <w:proofErr w:type="spellEnd"/>
      <w:r w:rsidRPr="00361DB7">
        <w:rPr>
          <w:rStyle w:val="IntensiveHervorhebung"/>
        </w:rPr>
        <w:t xml:space="preserve"> </w:t>
      </w:r>
      <w:proofErr w:type="spellStart"/>
      <w:r w:rsidRPr="00361DB7">
        <w:rPr>
          <w:rStyle w:val="IntensiveHervorhebung"/>
        </w:rPr>
        <w:t>certaine</w:t>
      </w:r>
      <w:proofErr w:type="spellEnd"/>
      <w:r w:rsidRPr="00361DB7">
        <w:rPr>
          <w:rStyle w:val="IntensiveHervorhebung"/>
        </w:rPr>
        <w:t xml:space="preserve"> </w:t>
      </w:r>
      <w:proofErr w:type="spellStart"/>
      <w:r w:rsidRPr="00361DB7">
        <w:rPr>
          <w:rStyle w:val="IntensiveHervorhebung"/>
        </w:rPr>
        <w:t>épaisseur</w:t>
      </w:r>
      <w:proofErr w:type="spellEnd"/>
      <w:r w:rsidRPr="00361DB7">
        <w:rPr>
          <w:rStyle w:val="IntensiveHervorhebung"/>
        </w:rPr>
        <w:t xml:space="preserve"> </w:t>
      </w:r>
      <w:proofErr w:type="spellStart"/>
      <w:r w:rsidRPr="00361DB7">
        <w:rPr>
          <w:rStyle w:val="IntensiveHervorhebung"/>
        </w:rPr>
        <w:t>peuvent</w:t>
      </w:r>
      <w:proofErr w:type="spellEnd"/>
      <w:r w:rsidRPr="00361DB7">
        <w:rPr>
          <w:rStyle w:val="IntensiveHervorhebung"/>
        </w:rPr>
        <w:t xml:space="preserve"> </w:t>
      </w:r>
      <w:proofErr w:type="spellStart"/>
      <w:r w:rsidRPr="00361DB7">
        <w:rPr>
          <w:rStyle w:val="IntensiveHervorhebung"/>
        </w:rPr>
        <w:t>être</w:t>
      </w:r>
      <w:proofErr w:type="spellEnd"/>
      <w:r w:rsidRPr="00361DB7">
        <w:rPr>
          <w:rStyle w:val="IntensiveHervorhebung"/>
        </w:rPr>
        <w:t xml:space="preserve"> </w:t>
      </w:r>
      <w:proofErr w:type="spellStart"/>
      <w:r w:rsidRPr="00361DB7">
        <w:rPr>
          <w:rStyle w:val="IntensiveHervorhebung"/>
        </w:rPr>
        <w:t>utilisées</w:t>
      </w:r>
      <w:proofErr w:type="spellEnd"/>
      <w:r w:rsidRPr="00361DB7">
        <w:rPr>
          <w:rStyle w:val="IntensiveHervorhebung"/>
        </w:rPr>
        <w:t xml:space="preserve">. En </w:t>
      </w:r>
      <w:proofErr w:type="spellStart"/>
      <w:r w:rsidRPr="00361DB7">
        <w:rPr>
          <w:rStyle w:val="IntensiveHervorhebung"/>
        </w:rPr>
        <w:t>général</w:t>
      </w:r>
      <w:proofErr w:type="spellEnd"/>
      <w:r w:rsidRPr="00361DB7">
        <w:rPr>
          <w:rStyle w:val="IntensiveHervorhebung"/>
        </w:rPr>
        <w:t xml:space="preserve">, avant </w:t>
      </w:r>
      <w:proofErr w:type="spellStart"/>
      <w:r w:rsidRPr="00361DB7">
        <w:rPr>
          <w:rStyle w:val="IntensiveHervorhebung"/>
        </w:rPr>
        <w:t>que</w:t>
      </w:r>
      <w:proofErr w:type="spellEnd"/>
      <w:r w:rsidRPr="00361DB7">
        <w:rPr>
          <w:rStyle w:val="IntensiveHervorhebung"/>
        </w:rPr>
        <w:t xml:space="preserve"> le </w:t>
      </w:r>
      <w:proofErr w:type="spellStart"/>
      <w:r w:rsidRPr="00361DB7">
        <w:rPr>
          <w:rStyle w:val="IntensiveHervorhebung"/>
        </w:rPr>
        <w:t>circuit</w:t>
      </w:r>
      <w:proofErr w:type="spellEnd"/>
      <w:r w:rsidRPr="00361DB7">
        <w:rPr>
          <w:rStyle w:val="IntensiveHervorhebung"/>
        </w:rPr>
        <w:t xml:space="preserve"> </w:t>
      </w:r>
      <w:proofErr w:type="spellStart"/>
      <w:r w:rsidRPr="00361DB7">
        <w:rPr>
          <w:rStyle w:val="IntensiveHervorhebung"/>
        </w:rPr>
        <w:t>intégré</w:t>
      </w:r>
      <w:proofErr w:type="spellEnd"/>
      <w:r w:rsidRPr="00361DB7">
        <w:rPr>
          <w:rStyle w:val="IntensiveHervorhebung"/>
        </w:rPr>
        <w:t xml:space="preserve"> ne </w:t>
      </w:r>
      <w:proofErr w:type="spellStart"/>
      <w:r w:rsidRPr="00361DB7">
        <w:rPr>
          <w:rStyle w:val="IntensiveHervorhebung"/>
        </w:rPr>
        <w:t>soit</w:t>
      </w:r>
      <w:proofErr w:type="spellEnd"/>
      <w:r w:rsidRPr="00361DB7">
        <w:rPr>
          <w:rStyle w:val="IntensiveHervorhebung"/>
        </w:rPr>
        <w:t xml:space="preserve"> « </w:t>
      </w:r>
      <w:proofErr w:type="spellStart"/>
      <w:r w:rsidRPr="00361DB7">
        <w:rPr>
          <w:rStyle w:val="IntensiveHervorhebung"/>
        </w:rPr>
        <w:t>packagé</w:t>
      </w:r>
      <w:proofErr w:type="spellEnd"/>
      <w:r w:rsidRPr="00361DB7">
        <w:rPr>
          <w:rStyle w:val="IntensiveHervorhebung"/>
        </w:rPr>
        <w:t xml:space="preserve"> », la </w:t>
      </w:r>
      <w:proofErr w:type="spellStart"/>
      <w:r w:rsidRPr="00361DB7">
        <w:rPr>
          <w:rStyle w:val="IntensiveHervorhebung"/>
        </w:rPr>
        <w:t>matière</w:t>
      </w:r>
      <w:proofErr w:type="spellEnd"/>
      <w:r w:rsidRPr="00361DB7">
        <w:rPr>
          <w:rStyle w:val="IntensiveHervorhebung"/>
        </w:rPr>
        <w:t xml:space="preserve"> </w:t>
      </w:r>
      <w:proofErr w:type="spellStart"/>
      <w:r w:rsidRPr="00361DB7">
        <w:rPr>
          <w:rStyle w:val="IntensiveHervorhebung"/>
        </w:rPr>
        <w:t>est</w:t>
      </w:r>
      <w:proofErr w:type="spellEnd"/>
      <w:r w:rsidRPr="00361DB7">
        <w:rPr>
          <w:rStyle w:val="IntensiveHervorhebung"/>
        </w:rPr>
        <w:t xml:space="preserve"> </w:t>
      </w:r>
      <w:proofErr w:type="spellStart"/>
      <w:r w:rsidRPr="00361DB7">
        <w:rPr>
          <w:rStyle w:val="IntensiveHervorhebung"/>
        </w:rPr>
        <w:t>retirée</w:t>
      </w:r>
      <w:proofErr w:type="spellEnd"/>
      <w:r w:rsidRPr="00361DB7">
        <w:rPr>
          <w:rStyle w:val="IntensiveHervorhebung"/>
        </w:rPr>
        <w:t xml:space="preserve"> de </w:t>
      </w:r>
      <w:proofErr w:type="spellStart"/>
      <w:r w:rsidRPr="00361DB7">
        <w:rPr>
          <w:rStyle w:val="IntensiveHervorhebung"/>
        </w:rPr>
        <w:t>l’arrière</w:t>
      </w:r>
      <w:proofErr w:type="spellEnd"/>
      <w:r w:rsidRPr="00361DB7">
        <w:rPr>
          <w:rStyle w:val="IntensiveHervorhebung"/>
        </w:rPr>
        <w:t xml:space="preserve"> du </w:t>
      </w:r>
      <w:proofErr w:type="spellStart"/>
      <w:r w:rsidRPr="00361DB7">
        <w:rPr>
          <w:rStyle w:val="IntensiveHervorhebung"/>
        </w:rPr>
        <w:t>wafer</w:t>
      </w:r>
      <w:proofErr w:type="spellEnd"/>
      <w:r w:rsidRPr="00361DB7">
        <w:rPr>
          <w:rStyle w:val="IntensiveHervorhebung"/>
        </w:rPr>
        <w:t xml:space="preserve">. </w:t>
      </w:r>
      <w:proofErr w:type="spellStart"/>
      <w:r w:rsidRPr="00361DB7">
        <w:rPr>
          <w:rStyle w:val="IntensiveHervorhebung"/>
        </w:rPr>
        <w:t>Ce</w:t>
      </w:r>
      <w:proofErr w:type="spellEnd"/>
      <w:r w:rsidRPr="00361DB7">
        <w:rPr>
          <w:rStyle w:val="IntensiveHervorhebung"/>
        </w:rPr>
        <w:t xml:space="preserve"> </w:t>
      </w:r>
      <w:proofErr w:type="spellStart"/>
      <w:r w:rsidRPr="00361DB7">
        <w:rPr>
          <w:rStyle w:val="IntensiveHervorhebung"/>
        </w:rPr>
        <w:t>processus</w:t>
      </w:r>
      <w:proofErr w:type="spellEnd"/>
      <w:r w:rsidRPr="00361DB7">
        <w:rPr>
          <w:rStyle w:val="IntensiveHervorhebung"/>
        </w:rPr>
        <w:t xml:space="preserve"> </w:t>
      </w:r>
      <w:proofErr w:type="spellStart"/>
      <w:r w:rsidRPr="00361DB7">
        <w:rPr>
          <w:rStyle w:val="IntensiveHervorhebung"/>
        </w:rPr>
        <w:t>est</w:t>
      </w:r>
      <w:proofErr w:type="spellEnd"/>
      <w:r w:rsidRPr="00361DB7">
        <w:rPr>
          <w:rStyle w:val="IntensiveHervorhebung"/>
        </w:rPr>
        <w:t xml:space="preserve"> </w:t>
      </w:r>
      <w:proofErr w:type="spellStart"/>
      <w:r w:rsidRPr="00361DB7">
        <w:rPr>
          <w:rStyle w:val="IntensiveHervorhebung"/>
        </w:rPr>
        <w:t>appelé</w:t>
      </w:r>
      <w:proofErr w:type="spellEnd"/>
      <w:r w:rsidRPr="00361DB7">
        <w:rPr>
          <w:rStyle w:val="IntensiveHervorhebung"/>
        </w:rPr>
        <w:t xml:space="preserve"> </w:t>
      </w:r>
      <w:proofErr w:type="spellStart"/>
      <w:r w:rsidRPr="00361DB7">
        <w:rPr>
          <w:rStyle w:val="IntensiveHervorhebung"/>
        </w:rPr>
        <w:t>processus</w:t>
      </w:r>
      <w:proofErr w:type="spellEnd"/>
      <w:r w:rsidRPr="00361DB7">
        <w:rPr>
          <w:rStyle w:val="IntensiveHervorhebung"/>
        </w:rPr>
        <w:t xml:space="preserve"> </w:t>
      </w:r>
      <w:proofErr w:type="spellStart"/>
      <w:r w:rsidRPr="00361DB7">
        <w:rPr>
          <w:rStyle w:val="IntensiveHervorhebung"/>
        </w:rPr>
        <w:t>d’amincissement</w:t>
      </w:r>
      <w:proofErr w:type="spellEnd"/>
      <w:r w:rsidRPr="00361DB7">
        <w:rPr>
          <w:rStyle w:val="IntensiveHervorhebung"/>
        </w:rPr>
        <w:t xml:space="preserve"> de la </w:t>
      </w:r>
      <w:proofErr w:type="spellStart"/>
      <w:r w:rsidRPr="00361DB7">
        <w:rPr>
          <w:rStyle w:val="IntensiveHervorhebung"/>
        </w:rPr>
        <w:t>face</w:t>
      </w:r>
      <w:proofErr w:type="spellEnd"/>
      <w:r w:rsidRPr="00361DB7">
        <w:rPr>
          <w:rStyle w:val="IntensiveHervorhebung"/>
        </w:rPr>
        <w:t xml:space="preserve"> </w:t>
      </w:r>
      <w:proofErr w:type="spellStart"/>
      <w:r w:rsidRPr="00361DB7">
        <w:rPr>
          <w:rStyle w:val="IntensiveHervorhebung"/>
        </w:rPr>
        <w:t>arrière</w:t>
      </w:r>
      <w:proofErr w:type="spellEnd"/>
      <w:r w:rsidRPr="00361DB7">
        <w:rPr>
          <w:rStyle w:val="IntensiveHervorhebung"/>
        </w:rPr>
        <w:t xml:space="preserve"> du </w:t>
      </w:r>
      <w:proofErr w:type="spellStart"/>
      <w:r w:rsidRPr="00361DB7">
        <w:rPr>
          <w:rStyle w:val="IntensiveHervorhebung"/>
        </w:rPr>
        <w:t>wafer</w:t>
      </w:r>
      <w:proofErr w:type="spellEnd"/>
      <w:r w:rsidRPr="00361DB7">
        <w:rPr>
          <w:rStyle w:val="IntensiveHervorhebung"/>
        </w:rPr>
        <w:t>.</w:t>
      </w:r>
    </w:p>
    <w:p w14:paraId="4983BF82" w14:textId="77777777" w:rsidR="00361DB7" w:rsidRDefault="00361DB7" w:rsidP="00361DB7">
      <w:pPr>
        <w:rPr>
          <w:lang w:val="fr-FR"/>
        </w:rPr>
      </w:pPr>
    </w:p>
    <w:p w14:paraId="4116A7E1" w14:textId="77777777" w:rsidR="00361DB7" w:rsidRDefault="00361DB7" w:rsidP="00361DB7">
      <w:pPr>
        <w:rPr>
          <w:lang w:val="fr-FR"/>
        </w:rPr>
      </w:pPr>
    </w:p>
    <w:p w14:paraId="53E0F1D4" w14:textId="77777777" w:rsidR="00361DB7" w:rsidRDefault="00361DB7" w:rsidP="00361DB7">
      <w:pPr>
        <w:rPr>
          <w:lang w:val="fr-FR"/>
        </w:rPr>
      </w:pPr>
    </w:p>
    <w:p w14:paraId="4F67A996" w14:textId="1D334B6A" w:rsidR="00361DB7" w:rsidRPr="00361DB7" w:rsidRDefault="00361DB7" w:rsidP="00361DB7">
      <w:pPr>
        <w:rPr>
          <w:lang w:val="fr-FR"/>
        </w:rPr>
      </w:pPr>
      <w:r>
        <w:rPr>
          <w:noProof/>
          <w:lang w:val="en-US"/>
        </w:rPr>
        <w:lastRenderedPageBreak/>
        <w:drawing>
          <wp:inline distT="0" distB="0" distL="0" distR="0" wp14:anchorId="3296AB5D" wp14:editId="56AE0E62">
            <wp:extent cx="1866900" cy="2486025"/>
            <wp:effectExtent l="0" t="0" r="0" b="9525"/>
            <wp:docPr id="4" name="Grafik 4" descr="1_Groupphoto_edited_lo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1_Groupphoto_edited_low"/>
                    <pic:cNvPicPr>
                      <a:picLocks noChangeAspect="1" noChangeArrowheads="1"/>
                    </pic:cNvPicPr>
                  </pic:nvPicPr>
                  <pic:blipFill>
                    <a:blip r:embed="rId4" cstate="print">
                      <a:extLst>
                        <a:ext uri="{28A0092B-C50C-407E-A947-70E740481C1C}">
                          <a14:useLocalDpi xmlns:a14="http://schemas.microsoft.com/office/drawing/2010/main" val="0"/>
                        </a:ext>
                      </a:extLst>
                    </a:blip>
                    <a:srcRect/>
                    <a:stretch>
                      <a:fillRect/>
                    </a:stretch>
                  </pic:blipFill>
                  <pic:spPr bwMode="auto">
                    <a:xfrm>
                      <a:off x="0" y="0"/>
                      <a:ext cx="1866900" cy="2486025"/>
                    </a:xfrm>
                    <a:prstGeom prst="rect">
                      <a:avLst/>
                    </a:prstGeom>
                    <a:noFill/>
                    <a:ln>
                      <a:noFill/>
                    </a:ln>
                  </pic:spPr>
                </pic:pic>
              </a:graphicData>
            </a:graphic>
          </wp:inline>
        </w:drawing>
      </w:r>
    </w:p>
    <w:p w14:paraId="56E1B9C8" w14:textId="77777777" w:rsidR="00361DB7" w:rsidRPr="00361DB7" w:rsidRDefault="00361DB7" w:rsidP="00361DB7">
      <w:pPr>
        <w:rPr>
          <w:lang w:val="fr-FR"/>
        </w:rPr>
      </w:pPr>
    </w:p>
    <w:p w14:paraId="10CB66D4" w14:textId="77777777" w:rsidR="00361DB7" w:rsidRDefault="00361DB7" w:rsidP="00361DB7">
      <w:r>
        <w:t xml:space="preserve">De gauche à </w:t>
      </w:r>
      <w:proofErr w:type="gramStart"/>
      <w:r>
        <w:t>droite :</w:t>
      </w:r>
      <w:proofErr w:type="gramEnd"/>
      <w:r>
        <w:t xml:space="preserve"> </w:t>
      </w:r>
      <w:proofErr w:type="spellStart"/>
      <w:r>
        <w:t>Arger</w:t>
      </w:r>
      <w:proofErr w:type="spellEnd"/>
      <w:r>
        <w:t xml:space="preserve"> Lee (Ingénieur d’application NUM Taiwan), Johnny Wu (NUM Taiwan GM), </w:t>
      </w:r>
      <w:proofErr w:type="spellStart"/>
      <w:r>
        <w:t>Tricia</w:t>
      </w:r>
      <w:proofErr w:type="spellEnd"/>
      <w:r>
        <w:t xml:space="preserve"> </w:t>
      </w:r>
      <w:proofErr w:type="spellStart"/>
      <w:r>
        <w:t>Tsai</w:t>
      </w:r>
      <w:proofErr w:type="spellEnd"/>
      <w:r>
        <w:t xml:space="preserve"> (GRINTIMATE VGM) et Gary Guo (GRINTIMATE Assistant Project Manager)</w:t>
      </w:r>
    </w:p>
    <w:p w14:paraId="37F44CF5" w14:textId="77777777" w:rsidR="00361DB7" w:rsidRPr="00361DB7" w:rsidRDefault="00361DB7" w:rsidP="00361DB7">
      <w:pPr>
        <w:rPr>
          <w:lang w:val="fr-FR"/>
        </w:rPr>
      </w:pPr>
    </w:p>
    <w:p w14:paraId="3239237A" w14:textId="730B31E2" w:rsidR="00361DB7" w:rsidRDefault="00361DB7" w:rsidP="00361DB7">
      <w:pPr>
        <w:rPr>
          <w:lang w:val="de-CH"/>
        </w:rPr>
      </w:pPr>
      <w:r>
        <w:rPr>
          <w:noProof/>
          <w:lang w:val="en-US"/>
        </w:rPr>
        <w:drawing>
          <wp:inline distT="0" distB="0" distL="0" distR="0" wp14:anchorId="5938DA50" wp14:editId="1A45639D">
            <wp:extent cx="2724150" cy="2047875"/>
            <wp:effectExtent l="0" t="0" r="0" b="9525"/>
            <wp:docPr id="3" name="Grafik 3" descr="2_screen_edited_lo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_screen_edited_low"/>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2724150" cy="2047875"/>
                    </a:xfrm>
                    <a:prstGeom prst="rect">
                      <a:avLst/>
                    </a:prstGeom>
                    <a:noFill/>
                    <a:ln>
                      <a:noFill/>
                    </a:ln>
                  </pic:spPr>
                </pic:pic>
              </a:graphicData>
            </a:graphic>
          </wp:inline>
        </w:drawing>
      </w:r>
    </w:p>
    <w:p w14:paraId="1E89A537" w14:textId="77777777" w:rsidR="00361DB7" w:rsidRDefault="00361DB7" w:rsidP="00361DB7">
      <w:r>
        <w:t>Machine GTR-1215 et IHMI</w:t>
      </w:r>
    </w:p>
    <w:p w14:paraId="4F9A8622" w14:textId="77777777" w:rsidR="00361DB7" w:rsidRDefault="00361DB7" w:rsidP="00361DB7">
      <w:pPr>
        <w:rPr>
          <w:lang w:val="de-CH"/>
        </w:rPr>
      </w:pPr>
      <w:r>
        <w:rPr>
          <w:lang w:val="de-CH"/>
        </w:rPr>
        <w:br w:type="page"/>
      </w:r>
    </w:p>
    <w:p w14:paraId="7618B278" w14:textId="4DDDF4BA" w:rsidR="00361DB7" w:rsidRDefault="00361DB7" w:rsidP="00361DB7">
      <w:pPr>
        <w:rPr>
          <w:lang w:val="de-CH"/>
        </w:rPr>
      </w:pPr>
      <w:r>
        <w:rPr>
          <w:noProof/>
          <w:lang w:val="en-US"/>
        </w:rPr>
        <w:lastRenderedPageBreak/>
        <w:drawing>
          <wp:inline distT="0" distB="0" distL="0" distR="0" wp14:anchorId="751C0C7F" wp14:editId="4A3E29FF">
            <wp:extent cx="1857375" cy="2476500"/>
            <wp:effectExtent l="0" t="0" r="9525" b="0"/>
            <wp:docPr id="2" name="Grafik 2" descr="3_machine_edi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3_machine_edited"/>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1857375" cy="2476500"/>
                    </a:xfrm>
                    <a:prstGeom prst="rect">
                      <a:avLst/>
                    </a:prstGeom>
                    <a:noFill/>
                    <a:ln>
                      <a:noFill/>
                    </a:ln>
                  </pic:spPr>
                </pic:pic>
              </a:graphicData>
            </a:graphic>
          </wp:inline>
        </w:drawing>
      </w:r>
    </w:p>
    <w:p w14:paraId="437CFBFE" w14:textId="77777777" w:rsidR="00361DB7" w:rsidRDefault="00361DB7" w:rsidP="00361DB7">
      <w:r>
        <w:t>Machine GTR-1215</w:t>
      </w:r>
    </w:p>
    <w:p w14:paraId="521A6DD1" w14:textId="77777777" w:rsidR="00361DB7" w:rsidRDefault="00361DB7" w:rsidP="00361DB7">
      <w:pPr>
        <w:rPr>
          <w:lang w:val="de-CH"/>
        </w:rPr>
      </w:pPr>
    </w:p>
    <w:p w14:paraId="5AF3D5C6" w14:textId="0DE2A7CD" w:rsidR="00361DB7" w:rsidRDefault="00361DB7" w:rsidP="00361DB7">
      <w:pPr>
        <w:rPr>
          <w:lang w:val="de-CH"/>
        </w:rPr>
      </w:pPr>
      <w:r>
        <w:rPr>
          <w:noProof/>
          <w:lang w:val="en-US"/>
        </w:rPr>
        <w:drawing>
          <wp:inline distT="0" distB="0" distL="0" distR="0" wp14:anchorId="50185162" wp14:editId="5E8E2307">
            <wp:extent cx="2809875" cy="1876425"/>
            <wp:effectExtent l="0" t="0" r="9525" b="9525"/>
            <wp:docPr id="1" name="Grafik 1" descr="4_wafers_edi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4_wafers_edited"/>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2809875" cy="1876425"/>
                    </a:xfrm>
                    <a:prstGeom prst="rect">
                      <a:avLst/>
                    </a:prstGeom>
                    <a:noFill/>
                    <a:ln>
                      <a:noFill/>
                    </a:ln>
                  </pic:spPr>
                </pic:pic>
              </a:graphicData>
            </a:graphic>
          </wp:inline>
        </w:drawing>
      </w:r>
    </w:p>
    <w:p w14:paraId="1229A5CE" w14:textId="77777777" w:rsidR="00361DB7" w:rsidRDefault="00361DB7" w:rsidP="00361DB7">
      <w:r>
        <w:t xml:space="preserve">Saphirs, </w:t>
      </w:r>
      <w:proofErr w:type="spellStart"/>
      <w:r>
        <w:t>SiC</w:t>
      </w:r>
      <w:proofErr w:type="spellEnd"/>
      <w:r>
        <w:t>, Si, plaquettes oxydées/</w:t>
      </w:r>
      <w:proofErr w:type="spellStart"/>
      <w:r>
        <w:t>bumping</w:t>
      </w:r>
      <w:proofErr w:type="spellEnd"/>
    </w:p>
    <w:p w14:paraId="222AA3F2" w14:textId="77777777" w:rsidR="00361DB7" w:rsidRPr="00361DB7" w:rsidRDefault="00361DB7" w:rsidP="00361DB7">
      <w:pPr>
        <w:rPr>
          <w:lang w:val="fr-FR"/>
        </w:rPr>
      </w:pPr>
    </w:p>
    <w:p w14:paraId="58E05174" w14:textId="77777777" w:rsidR="00361DB7" w:rsidRPr="00361DB7" w:rsidRDefault="00361DB7" w:rsidP="00361DB7">
      <w:pPr>
        <w:rPr>
          <w:lang w:val="fr-FR"/>
        </w:rPr>
      </w:pPr>
    </w:p>
    <w:p w14:paraId="561D06B2" w14:textId="77777777" w:rsidR="00361DB7" w:rsidRPr="00295F9A" w:rsidRDefault="00361DB7" w:rsidP="00361DB7">
      <w:pPr>
        <w:rPr>
          <w:rFonts w:ascii="Arial" w:hAnsi="Arial" w:cs="Arial"/>
          <w:color w:val="000000" w:themeColor="text1"/>
          <w:szCs w:val="24"/>
          <w:lang w:val="fr-CH"/>
        </w:rPr>
      </w:pPr>
    </w:p>
    <w:sectPr w:rsidR="00361DB7" w:rsidRPr="00295F9A">
      <w:pgSz w:w="11906" w:h="16838"/>
      <w:pgMar w:top="1417" w:right="1417" w:bottom="1134"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4002EFF" w:usb1="C200247B" w:usb2="00000009" w:usb3="00000000" w:csb0="000001FF" w:csb1="00000000"/>
  </w:font>
  <w:font w:name="PMingLiU">
    <w:altName w:val="新細明體"/>
    <w:panose1 w:val="02020300000000000000"/>
    <w:charset w:val="88"/>
    <w:family w:val="roman"/>
    <w:pitch w:val="variable"/>
    <w:sig w:usb0="A00002FF" w:usb1="28CFFCFA" w:usb2="00000016" w:usb3="00000000" w:csb0="00100001"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FagoNoRegular">
    <w:panose1 w:val="02000506040000020004"/>
    <w:charset w:val="00"/>
    <w:family w:val="auto"/>
    <w:pitch w:val="variable"/>
    <w:sig w:usb0="A00000AF" w:usb1="4000004A" w:usb2="00000000" w:usb3="00000000" w:csb0="00000111" w:csb1="00000000"/>
  </w:font>
  <w:font w:name="FagoNoBold">
    <w:panose1 w:val="02000506040000020004"/>
    <w:charset w:val="00"/>
    <w:family w:val="auto"/>
    <w:pitch w:val="variable"/>
    <w:sig w:usb0="A00000AF" w:usb1="4000004A" w:usb2="00000000" w:usb3="00000000" w:csb0="00000111" w:csb1="00000000"/>
  </w:font>
  <w:font w:name="Arial">
    <w:panose1 w:val="020B0604020202020204"/>
    <w:charset w:val="00"/>
    <w:family w:val="swiss"/>
    <w:pitch w:val="variable"/>
    <w:sig w:usb0="E0002EFF" w:usb1="C000785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bordersDoNotSurroundHeader/>
  <w:bordersDoNotSurroundFooter/>
  <w:proofState w:spelling="clean" w:grammar="clean"/>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E56CE"/>
    <w:rsid w:val="00011ABF"/>
    <w:rsid w:val="000556A6"/>
    <w:rsid w:val="000B7FAD"/>
    <w:rsid w:val="000C4474"/>
    <w:rsid w:val="000D34F6"/>
    <w:rsid w:val="000D3FC3"/>
    <w:rsid w:val="000F274A"/>
    <w:rsid w:val="002259A8"/>
    <w:rsid w:val="00233B01"/>
    <w:rsid w:val="00247676"/>
    <w:rsid w:val="00286C5B"/>
    <w:rsid w:val="00295F9A"/>
    <w:rsid w:val="002F0788"/>
    <w:rsid w:val="00336E25"/>
    <w:rsid w:val="00341581"/>
    <w:rsid w:val="00361DB7"/>
    <w:rsid w:val="003A455B"/>
    <w:rsid w:val="003D0B2C"/>
    <w:rsid w:val="004572BE"/>
    <w:rsid w:val="00461BB0"/>
    <w:rsid w:val="004F16C8"/>
    <w:rsid w:val="00500A5B"/>
    <w:rsid w:val="00523234"/>
    <w:rsid w:val="00560758"/>
    <w:rsid w:val="0056095D"/>
    <w:rsid w:val="00563E24"/>
    <w:rsid w:val="00564B67"/>
    <w:rsid w:val="006318F4"/>
    <w:rsid w:val="00635B5C"/>
    <w:rsid w:val="006761EC"/>
    <w:rsid w:val="006A45ED"/>
    <w:rsid w:val="00772D0A"/>
    <w:rsid w:val="007A1415"/>
    <w:rsid w:val="007A7AB5"/>
    <w:rsid w:val="007F398E"/>
    <w:rsid w:val="007F40EC"/>
    <w:rsid w:val="00840B3D"/>
    <w:rsid w:val="0089435D"/>
    <w:rsid w:val="008D3096"/>
    <w:rsid w:val="008D6F1B"/>
    <w:rsid w:val="00910EEF"/>
    <w:rsid w:val="00943840"/>
    <w:rsid w:val="00A25CD2"/>
    <w:rsid w:val="00A46DA2"/>
    <w:rsid w:val="00A51E8F"/>
    <w:rsid w:val="00A546C8"/>
    <w:rsid w:val="00A8571E"/>
    <w:rsid w:val="00B029D7"/>
    <w:rsid w:val="00B8441B"/>
    <w:rsid w:val="00B859F3"/>
    <w:rsid w:val="00B9203E"/>
    <w:rsid w:val="00B9489A"/>
    <w:rsid w:val="00BF03AC"/>
    <w:rsid w:val="00C020DB"/>
    <w:rsid w:val="00C0553A"/>
    <w:rsid w:val="00C64A9D"/>
    <w:rsid w:val="00C81116"/>
    <w:rsid w:val="00CA1B75"/>
    <w:rsid w:val="00D04447"/>
    <w:rsid w:val="00D5116F"/>
    <w:rsid w:val="00D73858"/>
    <w:rsid w:val="00DA4CC8"/>
    <w:rsid w:val="00DD16CB"/>
    <w:rsid w:val="00E07092"/>
    <w:rsid w:val="00E6335C"/>
    <w:rsid w:val="00E706D8"/>
    <w:rsid w:val="00EE56CE"/>
    <w:rsid w:val="00F44966"/>
    <w:rsid w:val="00FE043E"/>
  </w:rsids>
  <m:mathPr>
    <m:mathFont m:val="Cambria Math"/>
    <m:brkBin m:val="before"/>
    <m:brkBinSub m:val="--"/>
    <m:smallFrac m:val="0"/>
    <m:dispDef/>
    <m:lMargin m:val="0"/>
    <m:rMargin m:val="0"/>
    <m:defJc m:val="centerGroup"/>
    <m:wrapIndent m:val="1440"/>
    <m:intLim m:val="subSup"/>
    <m:naryLim m:val="undOvr"/>
  </m:mathPr>
  <w:themeFontLang w:val="de-DE" w:eastAsia="zh-TW"/>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597AE1A"/>
  <w15:chartTrackingRefBased/>
  <w15:docId w15:val="{C164B838-0DA3-41E1-BA2B-1E22B898E89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style>
  <w:style w:type="paragraph" w:styleId="berschrift1">
    <w:name w:val="heading 1"/>
    <w:basedOn w:val="Standard"/>
    <w:next w:val="Standard"/>
    <w:link w:val="berschrift1Zchn"/>
    <w:uiPriority w:val="9"/>
    <w:qFormat/>
    <w:rsid w:val="00361DB7"/>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einLeerraum">
    <w:name w:val="No Spacing"/>
    <w:uiPriority w:val="1"/>
    <w:qFormat/>
    <w:rsid w:val="00523234"/>
    <w:pPr>
      <w:spacing w:after="0" w:line="240" w:lineRule="auto"/>
    </w:pPr>
    <w:rPr>
      <w:sz w:val="24"/>
    </w:rPr>
  </w:style>
  <w:style w:type="paragraph" w:styleId="Sprechblasentext">
    <w:name w:val="Balloon Text"/>
    <w:basedOn w:val="Standard"/>
    <w:link w:val="SprechblasentextZchn"/>
    <w:uiPriority w:val="99"/>
    <w:semiHidden/>
    <w:unhideWhenUsed/>
    <w:rsid w:val="007F398E"/>
    <w:pPr>
      <w:spacing w:after="0"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7F398E"/>
    <w:rPr>
      <w:rFonts w:ascii="Segoe UI" w:hAnsi="Segoe UI" w:cs="Segoe UI"/>
      <w:sz w:val="18"/>
      <w:szCs w:val="18"/>
    </w:rPr>
  </w:style>
  <w:style w:type="character" w:styleId="Kommentarzeichen">
    <w:name w:val="annotation reference"/>
    <w:basedOn w:val="Absatz-Standardschriftart"/>
    <w:uiPriority w:val="99"/>
    <w:semiHidden/>
    <w:unhideWhenUsed/>
    <w:rsid w:val="00563E24"/>
    <w:rPr>
      <w:sz w:val="16"/>
      <w:szCs w:val="16"/>
    </w:rPr>
  </w:style>
  <w:style w:type="paragraph" w:styleId="Kommentartext">
    <w:name w:val="annotation text"/>
    <w:basedOn w:val="Standard"/>
    <w:link w:val="KommentartextZchn"/>
    <w:uiPriority w:val="99"/>
    <w:semiHidden/>
    <w:unhideWhenUsed/>
    <w:rsid w:val="00563E24"/>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563E24"/>
    <w:rPr>
      <w:sz w:val="20"/>
      <w:szCs w:val="20"/>
    </w:rPr>
  </w:style>
  <w:style w:type="paragraph" w:styleId="Kommentarthema">
    <w:name w:val="annotation subject"/>
    <w:basedOn w:val="Kommentartext"/>
    <w:next w:val="Kommentartext"/>
    <w:link w:val="KommentarthemaZchn"/>
    <w:uiPriority w:val="99"/>
    <w:semiHidden/>
    <w:unhideWhenUsed/>
    <w:rsid w:val="00563E24"/>
    <w:rPr>
      <w:b/>
      <w:bCs/>
    </w:rPr>
  </w:style>
  <w:style w:type="character" w:customStyle="1" w:styleId="KommentarthemaZchn">
    <w:name w:val="Kommentarthema Zchn"/>
    <w:basedOn w:val="KommentartextZchn"/>
    <w:link w:val="Kommentarthema"/>
    <w:uiPriority w:val="99"/>
    <w:semiHidden/>
    <w:rsid w:val="00563E24"/>
    <w:rPr>
      <w:b/>
      <w:bCs/>
      <w:sz w:val="20"/>
      <w:szCs w:val="20"/>
    </w:rPr>
  </w:style>
  <w:style w:type="paragraph" w:customStyle="1" w:styleId="01TitelHeaderweiss20PTNUMinformation">
    <w:name w:val="01_Titel_Header_weiss_20PT (NUMinformation)"/>
    <w:basedOn w:val="Standard"/>
    <w:uiPriority w:val="99"/>
    <w:rsid w:val="00361DB7"/>
    <w:pPr>
      <w:autoSpaceDE w:val="0"/>
      <w:autoSpaceDN w:val="0"/>
      <w:adjustRightInd w:val="0"/>
      <w:spacing w:after="0" w:line="400" w:lineRule="atLeast"/>
      <w:textAlignment w:val="center"/>
    </w:pPr>
    <w:rPr>
      <w:rFonts w:ascii="FagoNoRegular" w:hAnsi="FagoNoRegular" w:cs="FagoNoRegular"/>
      <w:color w:val="FFFFFF"/>
      <w:sz w:val="40"/>
      <w:szCs w:val="40"/>
      <w:lang w:val="fr-FR"/>
    </w:rPr>
  </w:style>
  <w:style w:type="paragraph" w:customStyle="1" w:styleId="05LauftextBoldgrau8PTNUMinformation">
    <w:name w:val="05_Lauftext_Bold_grau_8PT (NUMinformation)"/>
    <w:basedOn w:val="Standard"/>
    <w:uiPriority w:val="99"/>
    <w:rsid w:val="00361DB7"/>
    <w:pPr>
      <w:autoSpaceDE w:val="0"/>
      <w:autoSpaceDN w:val="0"/>
      <w:adjustRightInd w:val="0"/>
      <w:spacing w:after="0" w:line="200" w:lineRule="atLeast"/>
      <w:jc w:val="both"/>
      <w:textAlignment w:val="center"/>
    </w:pPr>
    <w:rPr>
      <w:rFonts w:ascii="FagoNoBold" w:hAnsi="FagoNoBold" w:cs="FagoNoBold"/>
      <w:color w:val="4C4E4D"/>
      <w:sz w:val="16"/>
      <w:szCs w:val="16"/>
      <w:lang w:val="fr-FR"/>
    </w:rPr>
  </w:style>
  <w:style w:type="paragraph" w:customStyle="1" w:styleId="04LauftextReggrau8PTNUMinformation">
    <w:name w:val="04_Lauftext_Reg_grau_8PT (NUMinformation)"/>
    <w:basedOn w:val="Standard"/>
    <w:uiPriority w:val="99"/>
    <w:rsid w:val="00361DB7"/>
    <w:pPr>
      <w:autoSpaceDE w:val="0"/>
      <w:autoSpaceDN w:val="0"/>
      <w:adjustRightInd w:val="0"/>
      <w:spacing w:after="0" w:line="200" w:lineRule="atLeast"/>
      <w:jc w:val="both"/>
      <w:textAlignment w:val="center"/>
    </w:pPr>
    <w:rPr>
      <w:rFonts w:ascii="FagoNoRegular" w:hAnsi="FagoNoRegular" w:cs="FagoNoRegular"/>
      <w:color w:val="4C4E4D"/>
      <w:sz w:val="16"/>
      <w:szCs w:val="16"/>
      <w:lang w:val="fr-FR"/>
    </w:rPr>
  </w:style>
  <w:style w:type="paragraph" w:customStyle="1" w:styleId="08Boxtextitalregweiss9PTNUMinformation">
    <w:name w:val="08_Boxtext_ital reg_weiss_9PT (NUMinformation)"/>
    <w:basedOn w:val="Standard"/>
    <w:uiPriority w:val="99"/>
    <w:rsid w:val="00361DB7"/>
    <w:pPr>
      <w:autoSpaceDE w:val="0"/>
      <w:autoSpaceDN w:val="0"/>
      <w:adjustRightInd w:val="0"/>
      <w:spacing w:after="0" w:line="200" w:lineRule="atLeast"/>
      <w:jc w:val="center"/>
      <w:textAlignment w:val="center"/>
    </w:pPr>
    <w:rPr>
      <w:rFonts w:ascii="FagoNoRegular" w:hAnsi="FagoNoRegular" w:cs="FagoNoRegular"/>
      <w:i/>
      <w:iCs/>
      <w:color w:val="FFFFFF"/>
      <w:sz w:val="18"/>
      <w:szCs w:val="18"/>
      <w:lang w:val="fr-FR"/>
    </w:rPr>
  </w:style>
  <w:style w:type="paragraph" w:customStyle="1" w:styleId="06FussnoteItalgrau8PTNUMinformation">
    <w:name w:val="06_Fussnote_Ital_grau_8PT (NUMinformation)"/>
    <w:basedOn w:val="Standard"/>
    <w:uiPriority w:val="99"/>
    <w:rsid w:val="00361DB7"/>
    <w:pPr>
      <w:autoSpaceDE w:val="0"/>
      <w:autoSpaceDN w:val="0"/>
      <w:adjustRightInd w:val="0"/>
      <w:spacing w:after="0" w:line="200" w:lineRule="atLeast"/>
      <w:textAlignment w:val="center"/>
    </w:pPr>
    <w:rPr>
      <w:rFonts w:ascii="FagoNoRegular" w:hAnsi="FagoNoRegular" w:cs="FagoNoRegular"/>
      <w:i/>
      <w:iCs/>
      <w:color w:val="4C4E4D"/>
      <w:sz w:val="16"/>
      <w:szCs w:val="16"/>
      <w:lang w:val="fr-FR"/>
    </w:rPr>
  </w:style>
  <w:style w:type="character" w:customStyle="1" w:styleId="berschrift1Zchn">
    <w:name w:val="Überschrift 1 Zchn"/>
    <w:basedOn w:val="Absatz-Standardschriftart"/>
    <w:link w:val="berschrift1"/>
    <w:uiPriority w:val="9"/>
    <w:rsid w:val="00361DB7"/>
    <w:rPr>
      <w:rFonts w:asciiTheme="majorHAnsi" w:eastAsiaTheme="majorEastAsia" w:hAnsiTheme="majorHAnsi" w:cstheme="majorBidi"/>
      <w:color w:val="2E74B5" w:themeColor="accent1" w:themeShade="BF"/>
      <w:sz w:val="32"/>
      <w:szCs w:val="32"/>
    </w:rPr>
  </w:style>
  <w:style w:type="character" w:styleId="IntensiveHervorhebung">
    <w:name w:val="Intense Emphasis"/>
    <w:basedOn w:val="Absatz-Standardschriftart"/>
    <w:uiPriority w:val="21"/>
    <w:qFormat/>
    <w:rsid w:val="00361DB7"/>
    <w:rPr>
      <w:i/>
      <w:iCs/>
      <w:color w:val="5B9BD5" w:themeColor="accent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57321634">
      <w:bodyDiv w:val="1"/>
      <w:marLeft w:val="0"/>
      <w:marRight w:val="0"/>
      <w:marTop w:val="0"/>
      <w:marBottom w:val="0"/>
      <w:divBdr>
        <w:top w:val="none" w:sz="0" w:space="0" w:color="auto"/>
        <w:left w:val="none" w:sz="0" w:space="0" w:color="auto"/>
        <w:bottom w:val="none" w:sz="0" w:space="0" w:color="auto"/>
        <w:right w:val="none" w:sz="0" w:space="0" w:color="auto"/>
      </w:divBdr>
    </w:div>
    <w:div w:id="113124265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image" Target="media/image4.pn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png"/><Relationship Id="rId9"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4</Pages>
  <Words>821</Words>
  <Characters>4681</Characters>
  <Application>Microsoft Office Word</Application>
  <DocSecurity>0</DocSecurity>
  <Lines>39</Lines>
  <Paragraphs>10</Paragraphs>
  <ScaleCrop>false</ScaleCrop>
  <HeadingPairs>
    <vt:vector size="6" baseType="variant">
      <vt:variant>
        <vt:lpstr>Titel</vt:lpstr>
      </vt:variant>
      <vt:variant>
        <vt:i4>1</vt:i4>
      </vt:variant>
      <vt:variant>
        <vt:lpstr>Titre</vt:lpstr>
      </vt:variant>
      <vt:variant>
        <vt:i4>1</vt:i4>
      </vt:variant>
      <vt:variant>
        <vt:lpstr>Title</vt:lpstr>
      </vt:variant>
      <vt:variant>
        <vt:i4>1</vt:i4>
      </vt:variant>
    </vt:vector>
  </HeadingPairs>
  <TitlesOfParts>
    <vt:vector size="3" baseType="lpstr">
      <vt:lpstr/>
      <vt:lpstr/>
      <vt:lpstr/>
    </vt:vector>
  </TitlesOfParts>
  <Company/>
  <LinksUpToDate>false</LinksUpToDate>
  <CharactersWithSpaces>5492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Jörg Staniek</dc:creator>
  <cp:keywords/>
  <dc:description/>
  <cp:lastModifiedBy>Jacqueline Boeni</cp:lastModifiedBy>
  <cp:revision>4</cp:revision>
  <dcterms:created xsi:type="dcterms:W3CDTF">2023-06-01T05:30:00Z</dcterms:created>
  <dcterms:modified xsi:type="dcterms:W3CDTF">2023-06-27T09:26:00Z</dcterms:modified>
</cp:coreProperties>
</file>