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317607" w14:textId="77777777" w:rsidR="00397EB4" w:rsidRDefault="00397EB4" w:rsidP="00397EB4">
      <w:pPr>
        <w:pStyle w:val="berschrift1"/>
      </w:pPr>
      <w:r>
        <w:t>NUM collabora con lo specialista taiwanese di rettificatrici idrostatiche GRINTIMATE</w:t>
      </w:r>
    </w:p>
    <w:p w14:paraId="3602937C" w14:textId="77777777" w:rsidR="0063631F" w:rsidRPr="00DD2091" w:rsidRDefault="0063631F" w:rsidP="00397EB4">
      <w:pPr>
        <w:rPr>
          <w:rFonts w:ascii="Arial" w:hAnsi="Arial" w:cs="Arial"/>
          <w:b/>
          <w:color w:val="000000" w:themeColor="text1"/>
          <w:szCs w:val="24"/>
          <w:lang w:val="it-IT"/>
        </w:rPr>
      </w:pPr>
    </w:p>
    <w:p w14:paraId="43C86A4A" w14:textId="77777777" w:rsidR="00397EB4" w:rsidRDefault="00397EB4" w:rsidP="00397EB4">
      <w:r>
        <w:t>Per la prima volta, le soluzioni NUM sono state integrate con successo in una macchina per la rettifica di wafer (piastre di materiale semiconduttore per la realizzazione dei circuiti integrati) del produttore taiwanese di macchine speciali GRINTIMATE.</w:t>
      </w:r>
    </w:p>
    <w:p w14:paraId="63C9EB83" w14:textId="77777777" w:rsidR="0063631F" w:rsidRPr="00DD2091" w:rsidRDefault="0063631F" w:rsidP="00397EB4">
      <w:pPr>
        <w:rPr>
          <w:rFonts w:ascii="Arial" w:hAnsi="Arial" w:cs="Arial"/>
          <w:color w:val="000000" w:themeColor="text1"/>
          <w:szCs w:val="24"/>
          <w:lang w:val="it-IT"/>
        </w:rPr>
      </w:pPr>
    </w:p>
    <w:p w14:paraId="4B59EAC0" w14:textId="77777777" w:rsidR="00397EB4" w:rsidRDefault="00397EB4" w:rsidP="00397EB4">
      <w:r>
        <w:t>GRINTIMATE è uno specialista del mercato asiatico delle rettificatrici idrostatiche. Come NUM, l’azienda fondata nel 2015 ha sede a Taichung. L’azienda si è fatta conoscere soprattutto per le sue rettificatrici cilindriche idrostatiche, le rettificatrici rotative per superfici e le smerigliatrici per wafer.</w:t>
      </w:r>
    </w:p>
    <w:p w14:paraId="538FA988" w14:textId="77777777" w:rsidR="00397EB4" w:rsidRDefault="00397EB4" w:rsidP="00397EB4"/>
    <w:p w14:paraId="4967A1D2" w14:textId="77777777" w:rsidR="00397EB4" w:rsidRDefault="00397EB4" w:rsidP="00397EB4">
      <w:r>
        <w:t>Come è nata la collaborazione</w:t>
      </w:r>
    </w:p>
    <w:p w14:paraId="27B7BFD8" w14:textId="77777777" w:rsidR="00397EB4" w:rsidRDefault="00397EB4" w:rsidP="00397EB4">
      <w:r>
        <w:t xml:space="preserve">Adrian </w:t>
      </w:r>
      <w:proofErr w:type="spellStart"/>
      <w:r>
        <w:t>Kiener</w:t>
      </w:r>
      <w:proofErr w:type="spellEnd"/>
      <w:r>
        <w:t xml:space="preserve">, CSO di NUM per l’Asia, ha conosciuto </w:t>
      </w:r>
      <w:proofErr w:type="spellStart"/>
      <w:r>
        <w:t>Grintimate</w:t>
      </w:r>
      <w:proofErr w:type="spellEnd"/>
      <w:r>
        <w:t xml:space="preserve"> nel 2018 in occasione del CIMT (China International </w:t>
      </w:r>
      <w:proofErr w:type="spellStart"/>
      <w:r>
        <w:t>Tool</w:t>
      </w:r>
      <w:proofErr w:type="spellEnd"/>
      <w:r>
        <w:t xml:space="preserve"> Show di Shanghai). Da allora, i contatti sono stati mantenuti. Si sono incontrati circa ogni sei mesi e si sono scambiati informazioni sugli ultimi sviluppi. Ed è stato questo che ha portato alla collaborazione vera e propria, poiché NUM aveva notevoli vantaggi da offrire in termini di automazione e tecnologia di rettifica. Soprattutto per la loro macchina di rettifica per wafer.</w:t>
      </w:r>
    </w:p>
    <w:p w14:paraId="4F47910B" w14:textId="77777777" w:rsidR="00397EB4" w:rsidRDefault="00397EB4" w:rsidP="00397EB4"/>
    <w:p w14:paraId="07942918" w14:textId="77777777" w:rsidR="00397EB4" w:rsidRDefault="00397EB4" w:rsidP="00397EB4">
      <w:r>
        <w:t>Perché NUM?</w:t>
      </w:r>
    </w:p>
    <w:p w14:paraId="59F925E1" w14:textId="77777777" w:rsidR="00397EB4" w:rsidRDefault="00397EB4" w:rsidP="00397EB4">
      <w:r>
        <w:t xml:space="preserve">Johnny </w:t>
      </w:r>
      <w:proofErr w:type="spellStart"/>
      <w:r>
        <w:t>Wu</w:t>
      </w:r>
      <w:proofErr w:type="spellEnd"/>
      <w:r>
        <w:t xml:space="preserve">, responsabile NTC di NUM a Taiwan, sa che </w:t>
      </w:r>
      <w:proofErr w:type="spellStart"/>
      <w:r>
        <w:t>Grintimate</w:t>
      </w:r>
      <w:proofErr w:type="spellEnd"/>
      <w:r>
        <w:t xml:space="preserve"> aveva già provato altre soluzioni di integrazione:</w:t>
      </w:r>
    </w:p>
    <w:p w14:paraId="462F105D" w14:textId="77777777" w:rsidR="00397EB4" w:rsidRDefault="00397EB4" w:rsidP="00397EB4"/>
    <w:p w14:paraId="1693A1A5" w14:textId="77777777" w:rsidR="00397EB4" w:rsidRDefault="00397EB4" w:rsidP="00397EB4">
      <w:r>
        <w:t xml:space="preserve">“NUM non è il primo controllore utilizzato da </w:t>
      </w:r>
      <w:proofErr w:type="spellStart"/>
      <w:r>
        <w:t>Grintimate</w:t>
      </w:r>
      <w:proofErr w:type="spellEnd"/>
      <w:r>
        <w:t xml:space="preserve"> per una rettificatrice di wafer.” </w:t>
      </w:r>
      <w:proofErr w:type="spellStart"/>
      <w:r>
        <w:t>Tsai</w:t>
      </w:r>
      <w:proofErr w:type="spellEnd"/>
      <w:r>
        <w:t xml:space="preserve"> Tricia VGM di </w:t>
      </w:r>
      <w:proofErr w:type="spellStart"/>
      <w:r>
        <w:t>Grintimate</w:t>
      </w:r>
      <w:proofErr w:type="spellEnd"/>
      <w:r>
        <w:t xml:space="preserve"> aggiunge: “Utilizziamo anche altri controlli basati su PC di Taiwan. La rettificatrice per wafer GTR di </w:t>
      </w:r>
      <w:proofErr w:type="spellStart"/>
      <w:r>
        <w:t>Grintimate</w:t>
      </w:r>
      <w:proofErr w:type="spellEnd"/>
      <w:r>
        <w:t xml:space="preserve"> soddisfa già le richieste del processo di assottigliamento dei wafer (vedi riquadro) per </w:t>
      </w:r>
      <w:proofErr w:type="spellStart"/>
      <w:r>
        <w:t>SiC</w:t>
      </w:r>
      <w:proofErr w:type="spellEnd"/>
      <w:r>
        <w:t xml:space="preserve">, Si, </w:t>
      </w:r>
      <w:proofErr w:type="spellStart"/>
      <w:r>
        <w:t>GaN</w:t>
      </w:r>
      <w:proofErr w:type="spellEnd"/>
      <w:r>
        <w:t xml:space="preserve"> ecc. Tuttavia, un’altra sfida nell’accettazione delle fabbriche di semiconduttori è l’integrazione del SECS/GEM e del sistema di carico/scarico per il GTR, che il sistema NUM contribuirà a soddisfare.”</w:t>
      </w:r>
    </w:p>
    <w:p w14:paraId="38ACF2F6" w14:textId="77777777" w:rsidR="00397EB4" w:rsidRDefault="00397EB4" w:rsidP="00397EB4"/>
    <w:p w14:paraId="5DF18DCC" w14:textId="77777777" w:rsidR="00397EB4" w:rsidRDefault="00397EB4" w:rsidP="00397EB4">
      <w:r>
        <w:t>Automazione della macchina per la rettifica dei wafer</w:t>
      </w:r>
    </w:p>
    <w:p w14:paraId="16D9C16D" w14:textId="77777777" w:rsidR="00397EB4" w:rsidRDefault="00397EB4" w:rsidP="00397EB4">
      <w:r>
        <w:t xml:space="preserve">In definitiva, la sfida consisteva nell’automatizzare una rettificatrice GTR-1215. Johnny </w:t>
      </w:r>
      <w:proofErr w:type="spellStart"/>
      <w:r>
        <w:t>Wu</w:t>
      </w:r>
      <w:proofErr w:type="spellEnd"/>
      <w:r>
        <w:t xml:space="preserve"> spiega quali sono state le vere sfide:</w:t>
      </w:r>
    </w:p>
    <w:p w14:paraId="3ADE1ECE" w14:textId="77777777" w:rsidR="00397EB4" w:rsidRDefault="00397EB4" w:rsidP="00397EB4"/>
    <w:p w14:paraId="7650A51E" w14:textId="77777777" w:rsidR="00397EB4" w:rsidRDefault="00397EB4" w:rsidP="00397EB4">
      <w:r>
        <w:t>“Innanzitutto, potrebbero esserci due o più robot che trasferiscono i wafer in entrata e in uscita (il cosiddetto EFEM/</w:t>
      </w:r>
      <w:proofErr w:type="spellStart"/>
      <w:r>
        <w:t>Equipment</w:t>
      </w:r>
      <w:proofErr w:type="spellEnd"/>
      <w:r>
        <w:t xml:space="preserve"> Front End </w:t>
      </w:r>
      <w:proofErr w:type="spellStart"/>
      <w:r>
        <w:t>Module</w:t>
      </w:r>
      <w:proofErr w:type="spellEnd"/>
      <w:r>
        <w:t xml:space="preserve">) alla GTR-1215. Era necessario un protocollo speciale per la comunicazione della selezione dei robot front-end, il metodo logistico tra EFEM e la macchina </w:t>
      </w:r>
      <w:proofErr w:type="spellStart"/>
      <w:r>
        <w:t>host</w:t>
      </w:r>
      <w:proofErr w:type="spellEnd"/>
      <w:r>
        <w:t xml:space="preserve">, la comunicazione tra SECS/GEM e il sistema </w:t>
      </w:r>
      <w:proofErr w:type="spellStart"/>
      <w:r>
        <w:t>host</w:t>
      </w:r>
      <w:proofErr w:type="spellEnd"/>
      <w:r>
        <w:t xml:space="preserve"> e l’integrazione del BC (</w:t>
      </w:r>
      <w:proofErr w:type="spellStart"/>
      <w:r>
        <w:t>Block</w:t>
      </w:r>
      <w:proofErr w:type="spellEnd"/>
      <w:r>
        <w:t xml:space="preserve"> Control).</w:t>
      </w:r>
    </w:p>
    <w:p w14:paraId="0EDB5967" w14:textId="77777777" w:rsidR="00397EB4" w:rsidRDefault="00397EB4" w:rsidP="00397EB4"/>
    <w:p w14:paraId="10016E4E" w14:textId="77777777" w:rsidR="00397EB4" w:rsidRDefault="00397EB4" w:rsidP="00397EB4">
      <w:r>
        <w:t>Pertanto, il controllore deve essere in grado di ricevere il segnale dal robot e avviare il resto del processo. Dopo che il GTR-1215 ha terminato la macinazione, il nostro controller deve anche inviare un segnale al robot per chiedergli di trasferire il wafer. Sviluppato dall’organizzazione SEMI (</w:t>
      </w:r>
      <w:proofErr w:type="spellStart"/>
      <w:r>
        <w:t>Semiconductor</w:t>
      </w:r>
      <w:proofErr w:type="spellEnd"/>
      <w:r>
        <w:t xml:space="preserve"> </w:t>
      </w:r>
      <w:proofErr w:type="spellStart"/>
      <w:r>
        <w:t>Equipment</w:t>
      </w:r>
      <w:proofErr w:type="spellEnd"/>
      <w:r>
        <w:t xml:space="preserve"> and </w:t>
      </w:r>
      <w:proofErr w:type="spellStart"/>
      <w:r>
        <w:t>Materials</w:t>
      </w:r>
      <w:proofErr w:type="spellEnd"/>
      <w:r>
        <w:t xml:space="preserve"> International), SECS/GEM è lo standard che definisce il protocollo di interfaccia delle apparecchiature dei semiconduttori per le comunicazioni dati tra apparecchiature e </w:t>
      </w:r>
      <w:proofErr w:type="spellStart"/>
      <w:r>
        <w:t>host</w:t>
      </w:r>
      <w:proofErr w:type="spellEnd"/>
      <w:r>
        <w:t>.  L’integrazione del protocollo SECS/GEM è stata facile perché il nostro controllore è aperto e flessibile.</w:t>
      </w:r>
    </w:p>
    <w:p w14:paraId="21F16E6B" w14:textId="77777777" w:rsidR="00397EB4" w:rsidRDefault="00397EB4" w:rsidP="00397EB4">
      <w:r>
        <w:t>In secondo luogo, la precisione del processo di rettifica richiede un ampio monitoraggio della corrente del mandrino. Il controllore NUM può raccogliere direttamente le informazioni sulla corrente dagli azionamenti MDLUX e il software HMI può raccogliere tutte queste informazioni in un unico database. Offriamo anche funzioni speciali per la rettifica superficiale, che comprendono non solo il monitoraggio, ma anche il controllo adattivo dell’avanzamento per stabilizzare la corrente. In questo modo si ottiene una migliore qualità della superficie e si riducono i tempi di rettifica.”</w:t>
      </w:r>
    </w:p>
    <w:p w14:paraId="4625CEAB" w14:textId="77777777" w:rsidR="00397EB4" w:rsidRDefault="00397EB4" w:rsidP="00397EB4"/>
    <w:p w14:paraId="3376611F" w14:textId="77777777" w:rsidR="00397EB4" w:rsidRDefault="00397EB4" w:rsidP="00397EB4">
      <w:r>
        <w:t>L’esperienza di questa cooperazione</w:t>
      </w:r>
    </w:p>
    <w:p w14:paraId="5F78A46C" w14:textId="77777777" w:rsidR="00397EB4" w:rsidRDefault="00397EB4" w:rsidP="00397EB4">
      <w:r>
        <w:t xml:space="preserve">Il progetto evidenzia la capacità di NUM di supportare </w:t>
      </w:r>
      <w:proofErr w:type="spellStart"/>
      <w:r>
        <w:t>Grintimate</w:t>
      </w:r>
      <w:proofErr w:type="spellEnd"/>
      <w:r>
        <w:t xml:space="preserve"> nell’integrazione di una linea di produzione completa per la rettifica di wafer. Sono stati integrati il monitoraggio della corrente e il monitoraggio della pressione e NUM ha creato un HMI speciale per </w:t>
      </w:r>
      <w:proofErr w:type="spellStart"/>
      <w:r>
        <w:t>Grintimate</w:t>
      </w:r>
      <w:proofErr w:type="spellEnd"/>
      <w:r>
        <w:t xml:space="preserve"> per garantire un funzionamento ottimale della macchina. NUM ha anche fornito le macro di lavorazione e sviluppato il programma PLC, la messa a punto dei motori e la messa in servizio per questo progetto, quindi una soluzione totale per </w:t>
      </w:r>
      <w:proofErr w:type="spellStart"/>
      <w:r>
        <w:t>Grintimate</w:t>
      </w:r>
      <w:proofErr w:type="spellEnd"/>
      <w:r>
        <w:t xml:space="preserve">. Ciò significa che </w:t>
      </w:r>
      <w:proofErr w:type="spellStart"/>
      <w:r>
        <w:t>Grintimate</w:t>
      </w:r>
      <w:proofErr w:type="spellEnd"/>
      <w:r>
        <w:t xml:space="preserve"> ha potuto concentrarsi pienamente sulle sue competenze principali in materia di macchine e tecnologia di rettifica.</w:t>
      </w:r>
    </w:p>
    <w:p w14:paraId="35B83809" w14:textId="77777777" w:rsidR="00397EB4" w:rsidRDefault="00397EB4" w:rsidP="00397EB4">
      <w:pPr>
        <w:rPr>
          <w:lang w:val="it-IT"/>
        </w:rPr>
      </w:pPr>
      <w:r w:rsidRPr="00397EB4">
        <w:rPr>
          <w:lang w:val="it-IT"/>
        </w:rPr>
        <w:t xml:space="preserve">Secondo Johnny </w:t>
      </w:r>
      <w:proofErr w:type="spellStart"/>
      <w:r w:rsidRPr="00397EB4">
        <w:rPr>
          <w:lang w:val="it-IT"/>
        </w:rPr>
        <w:t>Wu</w:t>
      </w:r>
      <w:proofErr w:type="spellEnd"/>
      <w:r w:rsidRPr="00397EB4">
        <w:rPr>
          <w:lang w:val="it-IT"/>
        </w:rPr>
        <w:t xml:space="preserve">, responsabile NTC di NUM a Taiwan, NUM è un nome rinomato nel settore della rettifica. Il sistema aperto e flessibile di NUM facilita l’accesso alle informazioni e fornisce interpolazioni a livello nanometrico. Inoltre, l’NTC di Taiwan ha offerto a </w:t>
      </w:r>
      <w:proofErr w:type="spellStart"/>
      <w:r w:rsidRPr="00397EB4">
        <w:rPr>
          <w:lang w:val="it-IT"/>
        </w:rPr>
        <w:t>Grintimate</w:t>
      </w:r>
      <w:proofErr w:type="spellEnd"/>
      <w:r w:rsidRPr="00397EB4">
        <w:rPr>
          <w:lang w:val="it-IT"/>
        </w:rPr>
        <w:t xml:space="preserve"> una soluzione completa, che comprendeva anche il controllo adattativo dell’avanzamento. Tutte queste caratteristiche dimostrano la nostra affermazione: “Le soluzioni CNC NUM forniscono ai costruttori di macchine un vantaggio competitivo.”</w:t>
      </w:r>
    </w:p>
    <w:p w14:paraId="7FB69AA3" w14:textId="77777777" w:rsidR="00397EB4" w:rsidRDefault="00397EB4" w:rsidP="00397EB4">
      <w:pPr>
        <w:rPr>
          <w:lang w:val="it-IT"/>
        </w:rPr>
      </w:pPr>
    </w:p>
    <w:p w14:paraId="12514C01" w14:textId="77777777" w:rsidR="00397EB4" w:rsidRPr="00397EB4" w:rsidRDefault="00397EB4" w:rsidP="00397EB4">
      <w:pPr>
        <w:rPr>
          <w:rStyle w:val="IntensiveHervorhebung"/>
        </w:rPr>
      </w:pPr>
      <w:r w:rsidRPr="00397EB4">
        <w:rPr>
          <w:rStyle w:val="IntensiveHervorhebung"/>
        </w:rPr>
        <w:t xml:space="preserve">I </w:t>
      </w:r>
      <w:proofErr w:type="spellStart"/>
      <w:r w:rsidRPr="00397EB4">
        <w:rPr>
          <w:rStyle w:val="IntensiveHervorhebung"/>
        </w:rPr>
        <w:t>wafer</w:t>
      </w:r>
      <w:proofErr w:type="spellEnd"/>
      <w:r w:rsidRPr="00397EB4">
        <w:rPr>
          <w:rStyle w:val="IntensiveHervorhebung"/>
        </w:rPr>
        <w:t xml:space="preserve"> </w:t>
      </w:r>
      <w:proofErr w:type="spellStart"/>
      <w:r w:rsidRPr="00397EB4">
        <w:rPr>
          <w:rStyle w:val="IntensiveHervorhebung"/>
        </w:rPr>
        <w:t>sono</w:t>
      </w:r>
      <w:proofErr w:type="spellEnd"/>
      <w:r w:rsidRPr="00397EB4">
        <w:rPr>
          <w:rStyle w:val="IntensiveHervorhebung"/>
        </w:rPr>
        <w:t xml:space="preserve"> la </w:t>
      </w:r>
      <w:proofErr w:type="spellStart"/>
      <w:r w:rsidRPr="00397EB4">
        <w:rPr>
          <w:rStyle w:val="IntensiveHervorhebung"/>
        </w:rPr>
        <w:t>base</w:t>
      </w:r>
      <w:proofErr w:type="spellEnd"/>
      <w:r w:rsidRPr="00397EB4">
        <w:rPr>
          <w:rStyle w:val="IntensiveHervorhebung"/>
        </w:rPr>
        <w:t xml:space="preserve"> </w:t>
      </w:r>
      <w:proofErr w:type="spellStart"/>
      <w:r w:rsidRPr="00397EB4">
        <w:rPr>
          <w:rStyle w:val="IntensiveHervorhebung"/>
        </w:rPr>
        <w:t>dei</w:t>
      </w:r>
      <w:proofErr w:type="spellEnd"/>
      <w:r w:rsidRPr="00397EB4">
        <w:rPr>
          <w:rStyle w:val="IntensiveHervorhebung"/>
        </w:rPr>
        <w:t xml:space="preserve"> </w:t>
      </w:r>
      <w:proofErr w:type="spellStart"/>
      <w:r w:rsidRPr="00397EB4">
        <w:rPr>
          <w:rStyle w:val="IntensiveHervorhebung"/>
        </w:rPr>
        <w:t>circuiti</w:t>
      </w:r>
      <w:proofErr w:type="spellEnd"/>
      <w:r w:rsidRPr="00397EB4">
        <w:rPr>
          <w:rStyle w:val="IntensiveHervorhebung"/>
        </w:rPr>
        <w:t xml:space="preserve"> </w:t>
      </w:r>
      <w:proofErr w:type="spellStart"/>
      <w:r w:rsidRPr="00397EB4">
        <w:rPr>
          <w:rStyle w:val="IntensiveHervorhebung"/>
        </w:rPr>
        <w:t>integrati</w:t>
      </w:r>
      <w:proofErr w:type="spellEnd"/>
      <w:r w:rsidRPr="00397EB4">
        <w:rPr>
          <w:rStyle w:val="IntensiveHervorhebung"/>
        </w:rPr>
        <w:t xml:space="preserve"> (</w:t>
      </w:r>
      <w:proofErr w:type="spellStart"/>
      <w:r w:rsidRPr="00397EB4">
        <w:rPr>
          <w:rStyle w:val="IntensiveHervorhebung"/>
        </w:rPr>
        <w:t>chip</w:t>
      </w:r>
      <w:proofErr w:type="spellEnd"/>
      <w:r w:rsidRPr="00397EB4">
        <w:rPr>
          <w:rStyle w:val="IntensiveHervorhebung"/>
        </w:rPr>
        <w:t xml:space="preserve">). Durante la </w:t>
      </w:r>
      <w:proofErr w:type="spellStart"/>
      <w:r w:rsidRPr="00397EB4">
        <w:rPr>
          <w:rStyle w:val="IntensiveHervorhebung"/>
        </w:rPr>
        <w:t>produzione</w:t>
      </w:r>
      <w:proofErr w:type="spellEnd"/>
      <w:r w:rsidRPr="00397EB4">
        <w:rPr>
          <w:rStyle w:val="IntensiveHervorhebung"/>
        </w:rPr>
        <w:t xml:space="preserve">, è </w:t>
      </w:r>
      <w:proofErr w:type="spellStart"/>
      <w:r w:rsidRPr="00397EB4">
        <w:rPr>
          <w:rStyle w:val="IntensiveHervorhebung"/>
        </w:rPr>
        <w:t>possibile</w:t>
      </w:r>
      <w:proofErr w:type="spellEnd"/>
      <w:r w:rsidRPr="00397EB4">
        <w:rPr>
          <w:rStyle w:val="IntensiveHervorhebung"/>
        </w:rPr>
        <w:t xml:space="preserve"> </w:t>
      </w:r>
      <w:proofErr w:type="spellStart"/>
      <w:r w:rsidRPr="00397EB4">
        <w:rPr>
          <w:rStyle w:val="IntensiveHervorhebung"/>
        </w:rPr>
        <w:t>utilizzare</w:t>
      </w:r>
      <w:proofErr w:type="spellEnd"/>
      <w:r w:rsidRPr="00397EB4">
        <w:rPr>
          <w:rStyle w:val="IntensiveHervorhebung"/>
        </w:rPr>
        <w:t xml:space="preserve"> solo </w:t>
      </w:r>
      <w:proofErr w:type="spellStart"/>
      <w:r w:rsidRPr="00397EB4">
        <w:rPr>
          <w:rStyle w:val="IntensiveHervorhebung"/>
        </w:rPr>
        <w:t>wafer</w:t>
      </w:r>
      <w:proofErr w:type="spellEnd"/>
      <w:r w:rsidRPr="00397EB4">
        <w:rPr>
          <w:rStyle w:val="IntensiveHervorhebung"/>
        </w:rPr>
        <w:t xml:space="preserve"> di </w:t>
      </w:r>
      <w:proofErr w:type="spellStart"/>
      <w:r w:rsidRPr="00397EB4">
        <w:rPr>
          <w:rStyle w:val="IntensiveHervorhebung"/>
        </w:rPr>
        <w:t>un</w:t>
      </w:r>
      <w:proofErr w:type="spellEnd"/>
      <w:r w:rsidRPr="00397EB4">
        <w:rPr>
          <w:rStyle w:val="IntensiveHervorhebung"/>
        </w:rPr>
        <w:t xml:space="preserve"> </w:t>
      </w:r>
      <w:proofErr w:type="spellStart"/>
      <w:r w:rsidRPr="00397EB4">
        <w:rPr>
          <w:rStyle w:val="IntensiveHervorhebung"/>
        </w:rPr>
        <w:t>certo</w:t>
      </w:r>
      <w:proofErr w:type="spellEnd"/>
      <w:r w:rsidRPr="00397EB4">
        <w:rPr>
          <w:rStyle w:val="IntensiveHervorhebung"/>
        </w:rPr>
        <w:t xml:space="preserve"> </w:t>
      </w:r>
      <w:proofErr w:type="spellStart"/>
      <w:r w:rsidRPr="00397EB4">
        <w:rPr>
          <w:rStyle w:val="IntensiveHervorhebung"/>
        </w:rPr>
        <w:t>spessore</w:t>
      </w:r>
      <w:proofErr w:type="spellEnd"/>
      <w:r w:rsidRPr="00397EB4">
        <w:rPr>
          <w:rStyle w:val="IntensiveHervorhebung"/>
        </w:rPr>
        <w:t xml:space="preserve">. Di </w:t>
      </w:r>
      <w:proofErr w:type="spellStart"/>
      <w:r w:rsidRPr="00397EB4">
        <w:rPr>
          <w:rStyle w:val="IntensiveHervorhebung"/>
        </w:rPr>
        <w:t>solito</w:t>
      </w:r>
      <w:proofErr w:type="spellEnd"/>
      <w:r w:rsidRPr="00397EB4">
        <w:rPr>
          <w:rStyle w:val="IntensiveHervorhebung"/>
        </w:rPr>
        <w:t xml:space="preserve">, prima </w:t>
      </w:r>
      <w:proofErr w:type="spellStart"/>
      <w:r w:rsidRPr="00397EB4">
        <w:rPr>
          <w:rStyle w:val="IntensiveHervorhebung"/>
        </w:rPr>
        <w:t>che</w:t>
      </w:r>
      <w:proofErr w:type="spellEnd"/>
      <w:r w:rsidRPr="00397EB4">
        <w:rPr>
          <w:rStyle w:val="IntensiveHervorhebung"/>
        </w:rPr>
        <w:t xml:space="preserve"> </w:t>
      </w:r>
      <w:proofErr w:type="spellStart"/>
      <w:r w:rsidRPr="00397EB4">
        <w:rPr>
          <w:rStyle w:val="IntensiveHervorhebung"/>
        </w:rPr>
        <w:t>il</w:t>
      </w:r>
      <w:proofErr w:type="spellEnd"/>
      <w:r w:rsidRPr="00397EB4">
        <w:rPr>
          <w:rStyle w:val="IntensiveHervorhebung"/>
        </w:rPr>
        <w:t xml:space="preserve"> </w:t>
      </w:r>
      <w:proofErr w:type="spellStart"/>
      <w:r w:rsidRPr="00397EB4">
        <w:rPr>
          <w:rStyle w:val="IntensiveHervorhebung"/>
        </w:rPr>
        <w:t>circuito</w:t>
      </w:r>
      <w:proofErr w:type="spellEnd"/>
      <w:r w:rsidRPr="00397EB4">
        <w:rPr>
          <w:rStyle w:val="IntensiveHervorhebung"/>
        </w:rPr>
        <w:t xml:space="preserve"> </w:t>
      </w:r>
      <w:proofErr w:type="spellStart"/>
      <w:r w:rsidRPr="00397EB4">
        <w:rPr>
          <w:rStyle w:val="IntensiveHervorhebung"/>
        </w:rPr>
        <w:t>integrato</w:t>
      </w:r>
      <w:proofErr w:type="spellEnd"/>
      <w:r w:rsidRPr="00397EB4">
        <w:rPr>
          <w:rStyle w:val="IntensiveHervorhebung"/>
        </w:rPr>
        <w:t xml:space="preserve"> </w:t>
      </w:r>
      <w:proofErr w:type="spellStart"/>
      <w:r w:rsidRPr="00397EB4">
        <w:rPr>
          <w:rStyle w:val="IntensiveHervorhebung"/>
        </w:rPr>
        <w:t>venga</w:t>
      </w:r>
      <w:proofErr w:type="spellEnd"/>
      <w:r w:rsidRPr="00397EB4">
        <w:rPr>
          <w:rStyle w:val="IntensiveHervorhebung"/>
        </w:rPr>
        <w:t xml:space="preserve"> “</w:t>
      </w:r>
      <w:proofErr w:type="spellStart"/>
      <w:r w:rsidRPr="00397EB4">
        <w:rPr>
          <w:rStyle w:val="IntensiveHervorhebung"/>
        </w:rPr>
        <w:t>impacchettato</w:t>
      </w:r>
      <w:proofErr w:type="spellEnd"/>
      <w:r w:rsidRPr="00397EB4">
        <w:rPr>
          <w:rStyle w:val="IntensiveHervorhebung"/>
        </w:rPr>
        <w:t xml:space="preserve">”, </w:t>
      </w:r>
      <w:proofErr w:type="spellStart"/>
      <w:r w:rsidRPr="00397EB4">
        <w:rPr>
          <w:rStyle w:val="IntensiveHervorhebung"/>
        </w:rPr>
        <w:t>il</w:t>
      </w:r>
      <w:proofErr w:type="spellEnd"/>
      <w:r w:rsidRPr="00397EB4">
        <w:rPr>
          <w:rStyle w:val="IntensiveHervorhebung"/>
        </w:rPr>
        <w:t xml:space="preserve"> materiale </w:t>
      </w:r>
      <w:proofErr w:type="spellStart"/>
      <w:r w:rsidRPr="00397EB4">
        <w:rPr>
          <w:rStyle w:val="IntensiveHervorhebung"/>
        </w:rPr>
        <w:t>viene</w:t>
      </w:r>
      <w:proofErr w:type="spellEnd"/>
      <w:r w:rsidRPr="00397EB4">
        <w:rPr>
          <w:rStyle w:val="IntensiveHervorhebung"/>
        </w:rPr>
        <w:t xml:space="preserve"> </w:t>
      </w:r>
      <w:proofErr w:type="spellStart"/>
      <w:r w:rsidRPr="00397EB4">
        <w:rPr>
          <w:rStyle w:val="IntensiveHervorhebung"/>
        </w:rPr>
        <w:t>rimosso</w:t>
      </w:r>
      <w:proofErr w:type="spellEnd"/>
      <w:r w:rsidRPr="00397EB4">
        <w:rPr>
          <w:rStyle w:val="IntensiveHervorhebung"/>
        </w:rPr>
        <w:t xml:space="preserve"> </w:t>
      </w:r>
      <w:proofErr w:type="spellStart"/>
      <w:r w:rsidRPr="00397EB4">
        <w:rPr>
          <w:rStyle w:val="IntensiveHervorhebung"/>
        </w:rPr>
        <w:t>dal</w:t>
      </w:r>
      <w:proofErr w:type="spellEnd"/>
      <w:r w:rsidRPr="00397EB4">
        <w:rPr>
          <w:rStyle w:val="IntensiveHervorhebung"/>
        </w:rPr>
        <w:t xml:space="preserve"> </w:t>
      </w:r>
      <w:proofErr w:type="spellStart"/>
      <w:r w:rsidRPr="00397EB4">
        <w:rPr>
          <w:rStyle w:val="IntensiveHervorhebung"/>
        </w:rPr>
        <w:t>retro</w:t>
      </w:r>
      <w:proofErr w:type="spellEnd"/>
      <w:r w:rsidRPr="00397EB4">
        <w:rPr>
          <w:rStyle w:val="IntensiveHervorhebung"/>
        </w:rPr>
        <w:t xml:space="preserve"> del </w:t>
      </w:r>
      <w:proofErr w:type="spellStart"/>
      <w:r w:rsidRPr="00397EB4">
        <w:rPr>
          <w:rStyle w:val="IntensiveHervorhebung"/>
        </w:rPr>
        <w:t>wafer</w:t>
      </w:r>
      <w:proofErr w:type="spellEnd"/>
      <w:r w:rsidRPr="00397EB4">
        <w:rPr>
          <w:rStyle w:val="IntensiveHervorhebung"/>
        </w:rPr>
        <w:t xml:space="preserve">. </w:t>
      </w:r>
      <w:proofErr w:type="spellStart"/>
      <w:r w:rsidRPr="00397EB4">
        <w:rPr>
          <w:rStyle w:val="IntensiveHervorhebung"/>
        </w:rPr>
        <w:t>Questo</w:t>
      </w:r>
      <w:proofErr w:type="spellEnd"/>
      <w:r w:rsidRPr="00397EB4">
        <w:rPr>
          <w:rStyle w:val="IntensiveHervorhebung"/>
        </w:rPr>
        <w:t xml:space="preserve"> </w:t>
      </w:r>
      <w:proofErr w:type="spellStart"/>
      <w:r w:rsidRPr="00397EB4">
        <w:rPr>
          <w:rStyle w:val="IntensiveHervorhebung"/>
        </w:rPr>
        <w:t>processo</w:t>
      </w:r>
      <w:proofErr w:type="spellEnd"/>
      <w:r w:rsidRPr="00397EB4">
        <w:rPr>
          <w:rStyle w:val="IntensiveHervorhebung"/>
        </w:rPr>
        <w:t xml:space="preserve"> è </w:t>
      </w:r>
      <w:proofErr w:type="spellStart"/>
      <w:r w:rsidRPr="00397EB4">
        <w:rPr>
          <w:rStyle w:val="IntensiveHervorhebung"/>
        </w:rPr>
        <w:t>chiamato</w:t>
      </w:r>
      <w:proofErr w:type="spellEnd"/>
      <w:r w:rsidRPr="00397EB4">
        <w:rPr>
          <w:rStyle w:val="IntensiveHervorhebung"/>
        </w:rPr>
        <w:t xml:space="preserve"> </w:t>
      </w:r>
      <w:proofErr w:type="spellStart"/>
      <w:r w:rsidRPr="00397EB4">
        <w:rPr>
          <w:rStyle w:val="IntensiveHervorhebung"/>
        </w:rPr>
        <w:t>processo</w:t>
      </w:r>
      <w:proofErr w:type="spellEnd"/>
      <w:r w:rsidRPr="00397EB4">
        <w:rPr>
          <w:rStyle w:val="IntensiveHervorhebung"/>
        </w:rPr>
        <w:t xml:space="preserve"> di </w:t>
      </w:r>
      <w:proofErr w:type="spellStart"/>
      <w:r w:rsidRPr="00397EB4">
        <w:rPr>
          <w:rStyle w:val="IntensiveHervorhebung"/>
        </w:rPr>
        <w:t>assottigliamento</w:t>
      </w:r>
      <w:proofErr w:type="spellEnd"/>
      <w:r w:rsidRPr="00397EB4">
        <w:rPr>
          <w:rStyle w:val="IntensiveHervorhebung"/>
        </w:rPr>
        <w:t xml:space="preserve"> del </w:t>
      </w:r>
      <w:proofErr w:type="spellStart"/>
      <w:r w:rsidRPr="00397EB4">
        <w:rPr>
          <w:rStyle w:val="IntensiveHervorhebung"/>
        </w:rPr>
        <w:t>retro</w:t>
      </w:r>
      <w:proofErr w:type="spellEnd"/>
      <w:r w:rsidRPr="00397EB4">
        <w:rPr>
          <w:rStyle w:val="IntensiveHervorhebung"/>
        </w:rPr>
        <w:t xml:space="preserve"> del </w:t>
      </w:r>
      <w:proofErr w:type="spellStart"/>
      <w:r w:rsidRPr="00397EB4">
        <w:rPr>
          <w:rStyle w:val="IntensiveHervorhebung"/>
        </w:rPr>
        <w:t>wafer</w:t>
      </w:r>
      <w:proofErr w:type="spellEnd"/>
      <w:r w:rsidRPr="00397EB4">
        <w:rPr>
          <w:rStyle w:val="IntensiveHervorhebung"/>
        </w:rPr>
        <w:t>.</w:t>
      </w:r>
    </w:p>
    <w:p w14:paraId="008FEDA9" w14:textId="77777777" w:rsidR="00397EB4" w:rsidRDefault="00397EB4" w:rsidP="00397EB4">
      <w:pPr>
        <w:rPr>
          <w:lang w:val="it-IT"/>
        </w:rPr>
      </w:pPr>
      <w:bookmarkStart w:id="0" w:name="_GoBack"/>
      <w:bookmarkEnd w:id="0"/>
    </w:p>
    <w:p w14:paraId="741CE660" w14:textId="1B575621" w:rsidR="00397EB4" w:rsidRPr="00397EB4" w:rsidRDefault="00397EB4" w:rsidP="00397EB4">
      <w:pPr>
        <w:rPr>
          <w:lang w:val="it-IT"/>
        </w:rPr>
      </w:pPr>
      <w:r>
        <w:rPr>
          <w:noProof/>
          <w:lang w:val="en-US"/>
        </w:rPr>
        <w:lastRenderedPageBreak/>
        <w:drawing>
          <wp:inline distT="0" distB="0" distL="0" distR="0" wp14:anchorId="14A4689F" wp14:editId="25C9BAA7">
            <wp:extent cx="1866900" cy="2486025"/>
            <wp:effectExtent l="0" t="0" r="0" b="9525"/>
            <wp:docPr id="4" name="Grafik 4" descr="1_Groupphoto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_Groupphoto_edited_low"/>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866900" cy="2486025"/>
                    </a:xfrm>
                    <a:prstGeom prst="rect">
                      <a:avLst/>
                    </a:prstGeom>
                    <a:noFill/>
                    <a:ln>
                      <a:noFill/>
                    </a:ln>
                  </pic:spPr>
                </pic:pic>
              </a:graphicData>
            </a:graphic>
          </wp:inline>
        </w:drawing>
      </w:r>
    </w:p>
    <w:p w14:paraId="13BEED42" w14:textId="77777777" w:rsidR="00397EB4" w:rsidRPr="00397EB4" w:rsidRDefault="00397EB4" w:rsidP="00397EB4">
      <w:pPr>
        <w:rPr>
          <w:lang w:val="it-IT"/>
        </w:rPr>
      </w:pPr>
    </w:p>
    <w:p w14:paraId="0071C7FF" w14:textId="77777777" w:rsidR="00397EB4" w:rsidRDefault="00397EB4" w:rsidP="00397EB4">
      <w:r>
        <w:t xml:space="preserve">Da sinistra a destra: </w:t>
      </w:r>
      <w:proofErr w:type="spellStart"/>
      <w:r>
        <w:t>Arger</w:t>
      </w:r>
      <w:proofErr w:type="spellEnd"/>
      <w:r>
        <w:t xml:space="preserve"> Lee (ingegnere applicativo di NUM Taiwan), Johnny </w:t>
      </w:r>
      <w:proofErr w:type="spellStart"/>
      <w:r>
        <w:t>Wu</w:t>
      </w:r>
      <w:proofErr w:type="spellEnd"/>
      <w:r>
        <w:t xml:space="preserve"> (GM di NUM Taiwan), Tricia </w:t>
      </w:r>
      <w:proofErr w:type="spellStart"/>
      <w:r>
        <w:t>Tsai</w:t>
      </w:r>
      <w:proofErr w:type="spellEnd"/>
      <w:r>
        <w:t xml:space="preserve"> (VGM di GRINTIMATE) e Gary </w:t>
      </w:r>
      <w:proofErr w:type="spellStart"/>
      <w:r>
        <w:t>Guo</w:t>
      </w:r>
      <w:proofErr w:type="spellEnd"/>
      <w:r>
        <w:t xml:space="preserve"> (Assistant Project Manager di GRINTIMATE)</w:t>
      </w:r>
    </w:p>
    <w:p w14:paraId="18A08128" w14:textId="77777777" w:rsidR="00397EB4" w:rsidRPr="00397EB4" w:rsidRDefault="00397EB4" w:rsidP="00397EB4">
      <w:pPr>
        <w:rPr>
          <w:lang w:val="it-IT"/>
        </w:rPr>
      </w:pPr>
    </w:p>
    <w:p w14:paraId="608796A6" w14:textId="5594030F" w:rsidR="00397EB4" w:rsidRDefault="00397EB4" w:rsidP="00397EB4">
      <w:pPr>
        <w:rPr>
          <w:lang w:val="de-CH"/>
        </w:rPr>
      </w:pPr>
      <w:r>
        <w:rPr>
          <w:noProof/>
          <w:lang w:val="en-US"/>
        </w:rPr>
        <w:drawing>
          <wp:inline distT="0" distB="0" distL="0" distR="0" wp14:anchorId="024E4FC4" wp14:editId="1AEEC8A4">
            <wp:extent cx="2724150" cy="2047875"/>
            <wp:effectExtent l="0" t="0" r="0" b="9525"/>
            <wp:docPr id="3" name="Grafik 3" descr="2_screen_edited_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_screen_edited_low"/>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24150" cy="2047875"/>
                    </a:xfrm>
                    <a:prstGeom prst="rect">
                      <a:avLst/>
                    </a:prstGeom>
                    <a:noFill/>
                    <a:ln>
                      <a:noFill/>
                    </a:ln>
                  </pic:spPr>
                </pic:pic>
              </a:graphicData>
            </a:graphic>
          </wp:inline>
        </w:drawing>
      </w:r>
    </w:p>
    <w:p w14:paraId="71331FEA" w14:textId="77777777" w:rsidR="00397EB4" w:rsidRDefault="00397EB4" w:rsidP="00397EB4">
      <w:r>
        <w:t>Macchina GTR-1215 e HMI</w:t>
      </w:r>
    </w:p>
    <w:p w14:paraId="6164804A" w14:textId="77777777" w:rsidR="00397EB4" w:rsidRDefault="00397EB4" w:rsidP="00397EB4">
      <w:pPr>
        <w:rPr>
          <w:lang w:val="de-CH"/>
        </w:rPr>
      </w:pPr>
      <w:r>
        <w:rPr>
          <w:lang w:val="de-CH"/>
        </w:rPr>
        <w:br w:type="page"/>
      </w:r>
    </w:p>
    <w:p w14:paraId="679A8B52" w14:textId="48DB349D" w:rsidR="00397EB4" w:rsidRDefault="00397EB4" w:rsidP="00397EB4">
      <w:pPr>
        <w:rPr>
          <w:lang w:val="de-CH"/>
        </w:rPr>
      </w:pPr>
      <w:r>
        <w:rPr>
          <w:noProof/>
          <w:lang w:val="en-US"/>
        </w:rPr>
        <w:lastRenderedPageBreak/>
        <w:drawing>
          <wp:inline distT="0" distB="0" distL="0" distR="0" wp14:anchorId="1156C7EE" wp14:editId="168008B8">
            <wp:extent cx="1857375" cy="2476500"/>
            <wp:effectExtent l="0" t="0" r="9525" b="0"/>
            <wp:docPr id="2" name="Grafik 2" descr="3_machine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machine_edi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57375" cy="2476500"/>
                    </a:xfrm>
                    <a:prstGeom prst="rect">
                      <a:avLst/>
                    </a:prstGeom>
                    <a:noFill/>
                    <a:ln>
                      <a:noFill/>
                    </a:ln>
                  </pic:spPr>
                </pic:pic>
              </a:graphicData>
            </a:graphic>
          </wp:inline>
        </w:drawing>
      </w:r>
    </w:p>
    <w:p w14:paraId="750AF7AA" w14:textId="77777777" w:rsidR="00397EB4" w:rsidRDefault="00397EB4" w:rsidP="00397EB4">
      <w:r>
        <w:t>Macchina GTR-1215</w:t>
      </w:r>
    </w:p>
    <w:p w14:paraId="55FB7A50" w14:textId="77777777" w:rsidR="00397EB4" w:rsidRDefault="00397EB4" w:rsidP="00397EB4">
      <w:pPr>
        <w:rPr>
          <w:lang w:val="de-CH"/>
        </w:rPr>
      </w:pPr>
    </w:p>
    <w:p w14:paraId="2B902F32" w14:textId="294E1CEC" w:rsidR="00397EB4" w:rsidRDefault="00397EB4" w:rsidP="00397EB4">
      <w:pPr>
        <w:rPr>
          <w:lang w:val="de-CH"/>
        </w:rPr>
      </w:pPr>
      <w:r>
        <w:rPr>
          <w:noProof/>
          <w:lang w:val="en-US"/>
        </w:rPr>
        <w:drawing>
          <wp:inline distT="0" distB="0" distL="0" distR="0" wp14:anchorId="4940B201" wp14:editId="6B4DF8C9">
            <wp:extent cx="2809875" cy="1876425"/>
            <wp:effectExtent l="0" t="0" r="9525" b="9525"/>
            <wp:docPr id="1" name="Grafik 1" descr="4_wafers_edi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_wafers_edi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09875" cy="1876425"/>
                    </a:xfrm>
                    <a:prstGeom prst="rect">
                      <a:avLst/>
                    </a:prstGeom>
                    <a:noFill/>
                    <a:ln>
                      <a:noFill/>
                    </a:ln>
                  </pic:spPr>
                </pic:pic>
              </a:graphicData>
            </a:graphic>
          </wp:inline>
        </w:drawing>
      </w:r>
    </w:p>
    <w:p w14:paraId="59DBBE32" w14:textId="77777777" w:rsidR="00397EB4" w:rsidRDefault="00397EB4" w:rsidP="00397EB4">
      <w:r>
        <w:t xml:space="preserve">Zaffiri, </w:t>
      </w:r>
      <w:proofErr w:type="spellStart"/>
      <w:r>
        <w:t>SiC</w:t>
      </w:r>
      <w:proofErr w:type="spellEnd"/>
      <w:r>
        <w:t>, Si, wafer di ossido/</w:t>
      </w:r>
      <w:proofErr w:type="spellStart"/>
      <w:r>
        <w:t>bumping</w:t>
      </w:r>
      <w:proofErr w:type="spellEnd"/>
    </w:p>
    <w:p w14:paraId="2EAAF410" w14:textId="77777777" w:rsidR="00397EB4" w:rsidRPr="00397EB4" w:rsidRDefault="00397EB4" w:rsidP="00397EB4">
      <w:pPr>
        <w:rPr>
          <w:lang w:val="it-IT"/>
        </w:rPr>
      </w:pPr>
    </w:p>
    <w:p w14:paraId="6F61D124" w14:textId="77777777" w:rsidR="00397EB4" w:rsidRPr="00397EB4" w:rsidRDefault="00397EB4" w:rsidP="00397EB4">
      <w:pPr>
        <w:rPr>
          <w:lang w:val="it-IT"/>
        </w:rPr>
      </w:pPr>
    </w:p>
    <w:p w14:paraId="25359BBD" w14:textId="77777777" w:rsidR="00397EB4" w:rsidRPr="00DD2091" w:rsidRDefault="00397EB4" w:rsidP="00397EB4">
      <w:pPr>
        <w:rPr>
          <w:rFonts w:ascii="Arial" w:hAnsi="Arial" w:cs="Arial"/>
          <w:color w:val="000000" w:themeColor="text1"/>
          <w:szCs w:val="24"/>
          <w:lang w:val="it-IT"/>
        </w:rPr>
      </w:pPr>
    </w:p>
    <w:sectPr w:rsidR="00397EB4" w:rsidRPr="00DD209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PMingLiU">
    <w:altName w:val="新細明體"/>
    <w:panose1 w:val="020203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6CE"/>
    <w:rsid w:val="00011ABF"/>
    <w:rsid w:val="000556A6"/>
    <w:rsid w:val="000B7FAD"/>
    <w:rsid w:val="000C4474"/>
    <w:rsid w:val="000D34F6"/>
    <w:rsid w:val="00247676"/>
    <w:rsid w:val="00286C5B"/>
    <w:rsid w:val="002F0788"/>
    <w:rsid w:val="00336E25"/>
    <w:rsid w:val="00341581"/>
    <w:rsid w:val="00397EB4"/>
    <w:rsid w:val="003A455B"/>
    <w:rsid w:val="003D0B2C"/>
    <w:rsid w:val="00461BB0"/>
    <w:rsid w:val="004F16C8"/>
    <w:rsid w:val="00500A5B"/>
    <w:rsid w:val="00523234"/>
    <w:rsid w:val="005276B6"/>
    <w:rsid w:val="00560758"/>
    <w:rsid w:val="0056095D"/>
    <w:rsid w:val="00563E24"/>
    <w:rsid w:val="00564B67"/>
    <w:rsid w:val="006318F4"/>
    <w:rsid w:val="00635B5C"/>
    <w:rsid w:val="0063631F"/>
    <w:rsid w:val="006761EC"/>
    <w:rsid w:val="006A45ED"/>
    <w:rsid w:val="0071696C"/>
    <w:rsid w:val="00772D0A"/>
    <w:rsid w:val="007A1415"/>
    <w:rsid w:val="007F398E"/>
    <w:rsid w:val="007F40EC"/>
    <w:rsid w:val="00840B3D"/>
    <w:rsid w:val="0089435D"/>
    <w:rsid w:val="008D3096"/>
    <w:rsid w:val="008D6F1B"/>
    <w:rsid w:val="00910EEF"/>
    <w:rsid w:val="00943840"/>
    <w:rsid w:val="0098710F"/>
    <w:rsid w:val="00A25CD2"/>
    <w:rsid w:val="00A46DA2"/>
    <w:rsid w:val="00A51E8F"/>
    <w:rsid w:val="00A546C8"/>
    <w:rsid w:val="00B029D7"/>
    <w:rsid w:val="00B8441B"/>
    <w:rsid w:val="00B859F3"/>
    <w:rsid w:val="00B9203E"/>
    <w:rsid w:val="00B9489A"/>
    <w:rsid w:val="00BF03AC"/>
    <w:rsid w:val="00C020DB"/>
    <w:rsid w:val="00C64A9D"/>
    <w:rsid w:val="00C81116"/>
    <w:rsid w:val="00CA1B75"/>
    <w:rsid w:val="00D04447"/>
    <w:rsid w:val="00D5116F"/>
    <w:rsid w:val="00D73858"/>
    <w:rsid w:val="00DA4CC8"/>
    <w:rsid w:val="00DD16CB"/>
    <w:rsid w:val="00DD2091"/>
    <w:rsid w:val="00E07092"/>
    <w:rsid w:val="00E6335C"/>
    <w:rsid w:val="00E706D8"/>
    <w:rsid w:val="00EE56CE"/>
    <w:rsid w:val="00F148F2"/>
    <w:rsid w:val="00F172A5"/>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7AE1A"/>
  <w15:chartTrackingRefBased/>
  <w15:docId w15:val="{C164B838-0DA3-41E1-BA2B-1E22B898E8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397EB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523234"/>
    <w:pPr>
      <w:spacing w:after="0" w:line="240" w:lineRule="auto"/>
    </w:pPr>
    <w:rPr>
      <w:sz w:val="24"/>
    </w:rPr>
  </w:style>
  <w:style w:type="paragraph" w:styleId="Sprechblasentext">
    <w:name w:val="Balloon Text"/>
    <w:basedOn w:val="Standard"/>
    <w:link w:val="SprechblasentextZchn"/>
    <w:uiPriority w:val="99"/>
    <w:semiHidden/>
    <w:unhideWhenUsed/>
    <w:rsid w:val="007F398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F398E"/>
    <w:rPr>
      <w:rFonts w:ascii="Segoe UI" w:hAnsi="Segoe UI" w:cs="Segoe UI"/>
      <w:sz w:val="18"/>
      <w:szCs w:val="18"/>
    </w:rPr>
  </w:style>
  <w:style w:type="character" w:styleId="Kommentarzeichen">
    <w:name w:val="annotation reference"/>
    <w:basedOn w:val="Absatz-Standardschriftart"/>
    <w:uiPriority w:val="99"/>
    <w:semiHidden/>
    <w:unhideWhenUsed/>
    <w:rsid w:val="00563E24"/>
    <w:rPr>
      <w:sz w:val="16"/>
      <w:szCs w:val="16"/>
    </w:rPr>
  </w:style>
  <w:style w:type="paragraph" w:styleId="Kommentartext">
    <w:name w:val="annotation text"/>
    <w:basedOn w:val="Standard"/>
    <w:link w:val="KommentartextZchn"/>
    <w:uiPriority w:val="99"/>
    <w:semiHidden/>
    <w:unhideWhenUsed/>
    <w:rsid w:val="00563E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63E24"/>
    <w:rPr>
      <w:sz w:val="20"/>
      <w:szCs w:val="20"/>
    </w:rPr>
  </w:style>
  <w:style w:type="paragraph" w:styleId="Kommentarthema">
    <w:name w:val="annotation subject"/>
    <w:basedOn w:val="Kommentartext"/>
    <w:next w:val="Kommentartext"/>
    <w:link w:val="KommentarthemaZchn"/>
    <w:uiPriority w:val="99"/>
    <w:semiHidden/>
    <w:unhideWhenUsed/>
    <w:rsid w:val="00563E24"/>
    <w:rPr>
      <w:b/>
      <w:bCs/>
    </w:rPr>
  </w:style>
  <w:style w:type="character" w:customStyle="1" w:styleId="KommentarthemaZchn">
    <w:name w:val="Kommentarthema Zchn"/>
    <w:basedOn w:val="KommentartextZchn"/>
    <w:link w:val="Kommentarthema"/>
    <w:uiPriority w:val="99"/>
    <w:semiHidden/>
    <w:rsid w:val="00563E24"/>
    <w:rPr>
      <w:b/>
      <w:bCs/>
      <w:sz w:val="20"/>
      <w:szCs w:val="20"/>
    </w:rPr>
  </w:style>
  <w:style w:type="paragraph" w:customStyle="1" w:styleId="01TitelHeaderweiss20PTNUMinformation">
    <w:name w:val="01_Titel_Header_weiss_20PT (NUMinformation)"/>
    <w:basedOn w:val="Standard"/>
    <w:uiPriority w:val="99"/>
    <w:rsid w:val="00397EB4"/>
    <w:pPr>
      <w:autoSpaceDE w:val="0"/>
      <w:autoSpaceDN w:val="0"/>
      <w:adjustRightInd w:val="0"/>
      <w:spacing w:after="0" w:line="400" w:lineRule="atLeast"/>
      <w:textAlignment w:val="center"/>
    </w:pPr>
    <w:rPr>
      <w:rFonts w:ascii="FagoNoRegular" w:hAnsi="FagoNoRegular" w:cs="FagoNoRegular"/>
      <w:color w:val="FFFFFF"/>
      <w:sz w:val="40"/>
      <w:szCs w:val="40"/>
      <w:lang w:val="it-IT"/>
    </w:rPr>
  </w:style>
  <w:style w:type="paragraph" w:customStyle="1" w:styleId="05LauftextBoldgrau8PTNUMinformation">
    <w:name w:val="05_Lauftext_Bold_grau_8PT (NUMinformation)"/>
    <w:basedOn w:val="Standard"/>
    <w:uiPriority w:val="99"/>
    <w:rsid w:val="00397EB4"/>
    <w:pPr>
      <w:autoSpaceDE w:val="0"/>
      <w:autoSpaceDN w:val="0"/>
      <w:adjustRightInd w:val="0"/>
      <w:spacing w:after="0" w:line="200" w:lineRule="atLeast"/>
      <w:jc w:val="both"/>
      <w:textAlignment w:val="center"/>
    </w:pPr>
    <w:rPr>
      <w:rFonts w:ascii="FagoNoBold" w:hAnsi="FagoNoBold" w:cs="FagoNoBold"/>
      <w:color w:val="4C4E4D"/>
      <w:sz w:val="16"/>
      <w:szCs w:val="16"/>
      <w:lang w:val="it-IT"/>
    </w:rPr>
  </w:style>
  <w:style w:type="paragraph" w:customStyle="1" w:styleId="04LauftextReggrau8PTNUMinformation">
    <w:name w:val="04_Lauftext_Reg_grau_8PT (NUMinformation)"/>
    <w:basedOn w:val="Standard"/>
    <w:uiPriority w:val="99"/>
    <w:rsid w:val="00397EB4"/>
    <w:pPr>
      <w:autoSpaceDE w:val="0"/>
      <w:autoSpaceDN w:val="0"/>
      <w:adjustRightInd w:val="0"/>
      <w:spacing w:after="0" w:line="200" w:lineRule="atLeast"/>
      <w:jc w:val="both"/>
      <w:textAlignment w:val="center"/>
    </w:pPr>
    <w:rPr>
      <w:rFonts w:ascii="FagoNoRegular" w:hAnsi="FagoNoRegular" w:cs="FagoNoRegular"/>
      <w:color w:val="4C4E4D"/>
      <w:sz w:val="16"/>
      <w:szCs w:val="16"/>
      <w:lang w:val="it-IT"/>
    </w:rPr>
  </w:style>
  <w:style w:type="paragraph" w:customStyle="1" w:styleId="08Boxtextitalregweiss9PTNUMinformation">
    <w:name w:val="08_Boxtext_ital reg_weiss_9PT (NUMinformation)"/>
    <w:basedOn w:val="Standard"/>
    <w:uiPriority w:val="99"/>
    <w:rsid w:val="00397EB4"/>
    <w:pPr>
      <w:autoSpaceDE w:val="0"/>
      <w:autoSpaceDN w:val="0"/>
      <w:adjustRightInd w:val="0"/>
      <w:spacing w:after="0" w:line="200" w:lineRule="atLeast"/>
      <w:jc w:val="center"/>
      <w:textAlignment w:val="center"/>
    </w:pPr>
    <w:rPr>
      <w:rFonts w:ascii="FagoNoRegular" w:hAnsi="FagoNoRegular" w:cs="FagoNoRegular"/>
      <w:i/>
      <w:iCs/>
      <w:color w:val="FFFFFF"/>
      <w:sz w:val="18"/>
      <w:szCs w:val="18"/>
      <w:lang w:val="it-IT"/>
    </w:rPr>
  </w:style>
  <w:style w:type="paragraph" w:customStyle="1" w:styleId="06FussnoteItalgrau8PTNUMinformation">
    <w:name w:val="06_Fussnote_Ital_grau_8PT (NUMinformation)"/>
    <w:basedOn w:val="Standard"/>
    <w:uiPriority w:val="99"/>
    <w:rsid w:val="00397EB4"/>
    <w:pPr>
      <w:autoSpaceDE w:val="0"/>
      <w:autoSpaceDN w:val="0"/>
      <w:adjustRightInd w:val="0"/>
      <w:spacing w:after="0" w:line="200" w:lineRule="atLeast"/>
      <w:textAlignment w:val="center"/>
    </w:pPr>
    <w:rPr>
      <w:rFonts w:ascii="FagoNoRegular" w:hAnsi="FagoNoRegular" w:cs="FagoNoRegular"/>
      <w:i/>
      <w:iCs/>
      <w:color w:val="4C4E4D"/>
      <w:sz w:val="16"/>
      <w:szCs w:val="16"/>
      <w:lang w:val="it-IT"/>
    </w:rPr>
  </w:style>
  <w:style w:type="character" w:customStyle="1" w:styleId="berschrift1Zchn">
    <w:name w:val="Überschrift 1 Zchn"/>
    <w:basedOn w:val="Absatz-Standardschriftart"/>
    <w:link w:val="berschrift1"/>
    <w:uiPriority w:val="9"/>
    <w:rsid w:val="00397EB4"/>
    <w:rPr>
      <w:rFonts w:asciiTheme="majorHAnsi" w:eastAsiaTheme="majorEastAsia" w:hAnsiTheme="majorHAnsi" w:cstheme="majorBidi"/>
      <w:color w:val="2E74B5" w:themeColor="accent1" w:themeShade="BF"/>
      <w:sz w:val="32"/>
      <w:szCs w:val="32"/>
    </w:rPr>
  </w:style>
  <w:style w:type="character" w:styleId="IntensiveHervorhebung">
    <w:name w:val="Intense Emphasis"/>
    <w:basedOn w:val="Absatz-Standardschriftart"/>
    <w:uiPriority w:val="21"/>
    <w:qFormat/>
    <w:rsid w:val="00397EB4"/>
    <w:rPr>
      <w:i/>
      <w:iCs/>
      <w:color w:val="5B9BD5"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321634">
      <w:bodyDiv w:val="1"/>
      <w:marLeft w:val="0"/>
      <w:marRight w:val="0"/>
      <w:marTop w:val="0"/>
      <w:marBottom w:val="0"/>
      <w:divBdr>
        <w:top w:val="none" w:sz="0" w:space="0" w:color="auto"/>
        <w:left w:val="none" w:sz="0" w:space="0" w:color="auto"/>
        <w:bottom w:val="none" w:sz="0" w:space="0" w:color="auto"/>
        <w:right w:val="none" w:sz="0" w:space="0" w:color="auto"/>
      </w:divBdr>
    </w:div>
    <w:div w:id="1131242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818</Words>
  <Characters>4663</Characters>
  <Application>Microsoft Office Word</Application>
  <DocSecurity>0</DocSecurity>
  <Lines>38</Lines>
  <Paragraphs>10</Paragraphs>
  <ScaleCrop>false</ScaleCrop>
  <HeadingPairs>
    <vt:vector size="6" baseType="variant">
      <vt:variant>
        <vt:lpstr>Titel</vt:lpstr>
      </vt:variant>
      <vt:variant>
        <vt:i4>1</vt:i4>
      </vt:variant>
      <vt:variant>
        <vt:lpstr>Titolo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Staniek</dc:creator>
  <cp:keywords/>
  <dc:description/>
  <cp:lastModifiedBy>Jacqueline Boeni</cp:lastModifiedBy>
  <cp:revision>4</cp:revision>
  <dcterms:created xsi:type="dcterms:W3CDTF">2023-05-31T08:43:00Z</dcterms:created>
  <dcterms:modified xsi:type="dcterms:W3CDTF">2023-06-27T09:28:00Z</dcterms:modified>
</cp:coreProperties>
</file>